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before="0" w:after="80" w:line="240" w:lineRule="auto"/>
        <w:jc w:val="left"/>
      </w:pPr>
      <w:r>
        <w:rPr>
          <w:rFonts w:ascii="Calibri" w:hAnsi="Calibri"/>
          <w:b/>
          <w:i w:val="0"/>
          <w:color w:val="111827"/>
          <w:sz w:val="48"/>
        </w:rPr>
        <w:t>Operating Specification Standard</w:t>
      </w:r>
    </w:p>
    <w:p>
      <w:pPr>
        <w:pStyle w:val="Subtitle"/>
        <w:spacing w:before="0" w:after="160" w:line="269" w:lineRule="auto"/>
      </w:pPr>
      <w:r>
        <w:rPr>
          <w:rFonts w:ascii="Calibri" w:hAnsi="Calibri"/>
          <w:b w:val="0"/>
          <w:i w:val="0"/>
          <w:color w:val="4B5563"/>
          <w:sz w:val="26"/>
        </w:rPr>
        <w:t>Version 0.1 | Builder Draft | A downloadable standard for authoring, validating, and running governed agentic operating paths</w:t>
      </w:r>
    </w:p>
    <w:tbl>
      <w:tblPr>
        <w:tblStyle w:val="TableGrid"/>
        <w:tblW w:type="dxa" w:w="9360"/>
        <w:jc w:val="left"/>
        <w:tblLook w:firstColumn="1" w:firstRow="1" w:lastColumn="0" w:lastRow="0" w:noHBand="0" w:noVBand="1" w:val="04A0"/>
        <w:tblInd w:type="dxa" w:w="120"/>
      </w:tblPr>
      <w:tblGrid>
        <w:gridCol w:w="2200"/>
        <w:gridCol w:w="7160"/>
      </w:tblGrid>
      <w:tr>
        <w:tc>
          <w:tcPr>
            <w:tcW w:type="dxa" w:w="2200"/>
            <w:vAlign w:val="center"/>
            <w:tcMar>
              <w:top w:w="80" w:type="dxa"/>
              <w:bottom w:w="80" w:type="dxa"/>
              <w:start w:w="120" w:type="dxa"/>
              <w:end w:w="120" w:type="dxa"/>
            </w:tcMar>
          </w:tcPr>
          <w:p>
            <w:pPr>
              <w:spacing w:before="0" w:after="40" w:line="264" w:lineRule="auto"/>
              <w:jc w:val="left"/>
            </w:pPr>
            <w:r/>
            <w:r>
              <w:rPr>
                <w:rFonts w:ascii="Calibri" w:hAnsi="Calibri"/>
                <w:b/>
                <w:i w:val="0"/>
                <w:color w:val="111827"/>
                <w:sz w:val="21"/>
              </w:rPr>
              <w:t>Document status</w:t>
            </w:r>
          </w:p>
        </w:tc>
        <w:tc>
          <w:tcPr>
            <w:tcW w:type="dxa" w:w="7160"/>
            <w:vAlign w:val="center"/>
            <w:tcMar>
              <w:top w:w="80" w:type="dxa"/>
              <w:bottom w:w="80" w:type="dxa"/>
              <w:start w:w="120" w:type="dxa"/>
              <w:end w:w="120" w:type="dxa"/>
            </w:tcMar>
          </w:tcPr>
          <w:p>
            <w:pPr>
              <w:spacing w:before="0" w:after="40" w:line="264" w:lineRule="auto"/>
              <w:jc w:val="left"/>
            </w:pPr>
            <w:r/>
            <w:r>
              <w:rPr>
                <w:rFonts w:ascii="Calibri" w:hAnsi="Calibri"/>
                <w:b w:val="0"/>
                <w:i w:val="0"/>
                <w:color w:val="111827"/>
                <w:sz w:val="21"/>
              </w:rPr>
              <w:t>Draft revised for builder usability and external implementation</w:t>
            </w:r>
          </w:p>
        </w:tc>
      </w:tr>
      <w:tr>
        <w:tc>
          <w:tcPr>
            <w:tcW w:type="dxa" w:w="2200"/>
            <w:vAlign w:val="center"/>
            <w:tcMar>
              <w:top w:w="80" w:type="dxa"/>
              <w:bottom w:w="80" w:type="dxa"/>
              <w:start w:w="120" w:type="dxa"/>
              <w:end w:w="120" w:type="dxa"/>
            </w:tcMar>
          </w:tcPr>
          <w:p>
            <w:pPr>
              <w:spacing w:before="0" w:after="40" w:line="264" w:lineRule="auto"/>
              <w:jc w:val="left"/>
            </w:pPr>
            <w:r/>
            <w:r>
              <w:rPr>
                <w:rFonts w:ascii="Calibri" w:hAnsi="Calibri"/>
                <w:b/>
                <w:i w:val="0"/>
                <w:color w:val="111827"/>
                <w:sz w:val="21"/>
              </w:rPr>
              <w:t>Primary audience</w:t>
            </w:r>
          </w:p>
        </w:tc>
        <w:tc>
          <w:tcPr>
            <w:tcW w:type="dxa" w:w="7160"/>
            <w:vAlign w:val="center"/>
            <w:tcMar>
              <w:top w:w="80" w:type="dxa"/>
              <w:bottom w:w="80" w:type="dxa"/>
              <w:start w:w="120" w:type="dxa"/>
              <w:end w:w="120" w:type="dxa"/>
            </w:tcMar>
          </w:tcPr>
          <w:p>
            <w:pPr>
              <w:spacing w:before="0" w:after="40" w:line="264" w:lineRule="auto"/>
              <w:jc w:val="left"/>
            </w:pPr>
            <w:r/>
            <w:r>
              <w:rPr>
                <w:rFonts w:ascii="Calibri" w:hAnsi="Calibri"/>
                <w:b w:val="0"/>
                <w:i w:val="0"/>
                <w:color w:val="111827"/>
                <w:sz w:val="21"/>
              </w:rPr>
              <w:t>Developers, platform engineers, registry builders, runtime vendors, and enterprise architecture teams</w:t>
            </w:r>
          </w:p>
        </w:tc>
      </w:tr>
      <w:tr>
        <w:tc>
          <w:tcPr>
            <w:tcW w:type="dxa" w:w="2200"/>
            <w:vAlign w:val="center"/>
            <w:tcMar>
              <w:top w:w="80" w:type="dxa"/>
              <w:bottom w:w="80" w:type="dxa"/>
              <w:start w:w="120" w:type="dxa"/>
              <w:end w:w="120" w:type="dxa"/>
            </w:tcMar>
          </w:tcPr>
          <w:p>
            <w:pPr>
              <w:spacing w:before="0" w:after="40" w:line="264" w:lineRule="auto"/>
              <w:jc w:val="left"/>
            </w:pPr>
            <w:r/>
            <w:r>
              <w:rPr>
                <w:rFonts w:ascii="Calibri" w:hAnsi="Calibri"/>
                <w:b/>
                <w:i w:val="0"/>
                <w:color w:val="111827"/>
                <w:sz w:val="21"/>
              </w:rPr>
              <w:t>Primary promise</w:t>
            </w:r>
          </w:p>
        </w:tc>
        <w:tc>
          <w:tcPr>
            <w:tcW w:type="dxa" w:w="7160"/>
            <w:vAlign w:val="center"/>
            <w:tcMar>
              <w:top w:w="80" w:type="dxa"/>
              <w:bottom w:w="80" w:type="dxa"/>
              <w:start w:w="120" w:type="dxa"/>
              <w:end w:w="120" w:type="dxa"/>
            </w:tcMar>
          </w:tcPr>
          <w:p>
            <w:pPr>
              <w:spacing w:before="0" w:after="40" w:line="264" w:lineRule="auto"/>
              <w:jc w:val="left"/>
            </w:pPr>
            <w:r/>
            <w:r>
              <w:rPr>
                <w:rFonts w:ascii="Calibri" w:hAnsi="Calibri"/>
                <w:b w:val="0"/>
                <w:i w:val="0"/>
                <w:color w:val="111827"/>
                <w:sz w:val="21"/>
              </w:rPr>
              <w:t>A third party should be able to download the standard package and build authoring, validation, registry, or runtime support</w:t>
            </w:r>
          </w:p>
        </w:tc>
      </w:tr>
      <w:tr>
        <w:tc>
          <w:tcPr>
            <w:tcW w:type="dxa" w:w="2200"/>
            <w:vAlign w:val="center"/>
            <w:tcMar>
              <w:top w:w="80" w:type="dxa"/>
              <w:bottom w:w="80" w:type="dxa"/>
              <w:start w:w="120" w:type="dxa"/>
              <w:end w:w="120" w:type="dxa"/>
            </w:tcMar>
          </w:tcPr>
          <w:p>
            <w:pPr>
              <w:spacing w:before="0" w:after="40" w:line="264" w:lineRule="auto"/>
              <w:jc w:val="left"/>
            </w:pPr>
            <w:r/>
            <w:r>
              <w:rPr>
                <w:rFonts w:ascii="Calibri" w:hAnsi="Calibri"/>
                <w:b/>
                <w:i w:val="0"/>
                <w:color w:val="111827"/>
                <w:sz w:val="21"/>
              </w:rPr>
              <w:t>Runtime relationship</w:t>
            </w:r>
          </w:p>
        </w:tc>
        <w:tc>
          <w:tcPr>
            <w:tcW w:type="dxa" w:w="7160"/>
            <w:vAlign w:val="center"/>
            <w:tcMar>
              <w:top w:w="80" w:type="dxa"/>
              <w:bottom w:w="80" w:type="dxa"/>
              <w:start w:w="120" w:type="dxa"/>
              <w:end w:w="120" w:type="dxa"/>
            </w:tcMar>
          </w:tcPr>
          <w:p>
            <w:pPr>
              <w:spacing w:before="0" w:after="40" w:line="264" w:lineRule="auto"/>
              <w:jc w:val="left"/>
            </w:pPr>
            <w:r/>
            <w:r>
              <w:rPr>
                <w:rFonts w:ascii="Calibri" w:hAnsi="Calibri"/>
                <w:b w:val="0"/>
                <w:i w:val="0"/>
                <w:color w:val="111827"/>
                <w:sz w:val="21"/>
              </w:rPr>
              <w:t>The standard is portable and vendor-neutral; Aegora Runtime is one execution foundation that can implement it</w:t>
            </w:r>
          </w:p>
        </w:tc>
      </w:tr>
      <w:tr>
        <w:tc>
          <w:tcPr>
            <w:tcW w:type="dxa" w:w="2200"/>
            <w:vAlign w:val="center"/>
            <w:tcMar>
              <w:top w:w="80" w:type="dxa"/>
              <w:bottom w:w="80" w:type="dxa"/>
              <w:start w:w="120" w:type="dxa"/>
              <w:end w:w="120" w:type="dxa"/>
            </w:tcMar>
          </w:tcPr>
          <w:p>
            <w:pPr>
              <w:spacing w:before="0" w:after="40" w:line="264" w:lineRule="auto"/>
              <w:jc w:val="left"/>
            </w:pPr>
            <w:r/>
            <w:r>
              <w:rPr>
                <w:rFonts w:ascii="Calibri" w:hAnsi="Calibri"/>
                <w:b/>
                <w:i w:val="0"/>
                <w:color w:val="111827"/>
                <w:sz w:val="21"/>
              </w:rPr>
              <w:t>Draft date</w:t>
            </w:r>
          </w:p>
        </w:tc>
        <w:tc>
          <w:tcPr>
            <w:tcW w:type="dxa" w:w="7160"/>
            <w:vAlign w:val="center"/>
            <w:tcMar>
              <w:top w:w="80" w:type="dxa"/>
              <w:bottom w:w="80" w:type="dxa"/>
              <w:start w:w="120" w:type="dxa"/>
              <w:end w:w="120" w:type="dxa"/>
            </w:tcMar>
          </w:tcPr>
          <w:p>
            <w:pPr>
              <w:spacing w:before="0" w:after="40" w:line="264" w:lineRule="auto"/>
              <w:jc w:val="left"/>
            </w:pPr>
            <w:r/>
            <w:r>
              <w:rPr>
                <w:rFonts w:ascii="Calibri" w:hAnsi="Calibri"/>
                <w:b w:val="0"/>
                <w:i w:val="0"/>
                <w:color w:val="111827"/>
                <w:sz w:val="21"/>
              </w:rPr>
              <w:t>August 13, 2026</w:t>
            </w:r>
          </w:p>
        </w:tc>
      </w:tr>
    </w:tbl>
    <w:tbl>
      <w:tblPr>
        <w:tblStyle w:val="TableGrid"/>
        <w:tblW w:type="dxa" w:w="9360"/>
        <w:jc w:val="left"/>
        <w:tblLook w:firstColumn="1" w:firstRow="1" w:lastColumn="0" w:lastRow="0" w:noHBand="0" w:noVBand="1" w:val="04A0"/>
        <w:tblInd w:type="dxa" w:w="120"/>
      </w:tblPr>
      <w:tblGrid>
        <w:gridCol w:w="9360"/>
      </w:tblGrid>
      <w:tr>
        <w:tc>
          <w:tcPr>
            <w:tcW w:type="dxa" w:w="9360"/>
            <w:shd w:fill="EAF2FB"/>
            <w:tcMar>
              <w:top w:w="110" w:type="dxa"/>
              <w:bottom w:w="110" w:type="dxa"/>
              <w:start w:w="160" w:type="dxa"/>
              <w:end w:w="160" w:type="dxa"/>
            </w:tcMar>
          </w:tcPr>
          <w:p>
            <w:pPr>
              <w:spacing w:before="0" w:after="40" w:line="240" w:lineRule="auto"/>
            </w:pPr>
            <w:r/>
            <w:r>
              <w:rPr>
                <w:rFonts w:ascii="Calibri" w:hAnsi="Calibri"/>
                <w:b/>
                <w:i w:val="0"/>
                <w:color w:val="1F4D78"/>
                <w:sz w:val="22"/>
              </w:rPr>
              <w:t>Intent of this revision</w:t>
            </w:r>
          </w:p>
          <w:p>
            <w:pPr>
              <w:spacing w:before="0" w:after="0" w:line="269" w:lineRule="auto"/>
            </w:pPr>
            <w:r>
              <w:rPr>
                <w:rFonts w:ascii="Calibri" w:hAnsi="Calibri"/>
                <w:b w:val="0"/>
                <w:i w:val="0"/>
                <w:color w:val="111827"/>
                <w:sz w:val="21"/>
              </w:rPr>
              <w:t>This version is written to close the gap between category narrative and implementation guidance. A reader should be able to understand what artifacts exist, what fields are required, what validators check, and what a runtime must preserve.</w:t>
            </w:r>
          </w:p>
        </w:tc>
      </w:tr>
    </w:tbl>
    <w:p>
      <w:pPr>
        <w:pStyle w:val="Heading1"/>
      </w:pPr>
      <w:r>
        <w:t>1. Abstract</w:t>
      </w:r>
    </w:p>
    <w:p>
      <w:pPr>
        <w:spacing w:before="0" w:after="120" w:line="276" w:lineRule="auto"/>
      </w:pPr>
      <w:r>
        <w:rPr>
          <w:rFonts w:ascii="Calibri" w:hAnsi="Calibri"/>
          <w:b w:val="0"/>
          <w:i w:val="0"/>
          <w:color w:val="111827"/>
          <w:sz w:val="22"/>
        </w:rPr>
        <w:t>The Operating Specification Standard defines a portable, downloadable, and implementable contract for describing how a recurring operational situation moves from signal to governed outcome in an agentic system. Its goal is to help developers, enterprises, and software vendors convert existing business processes into governed agentic operating paths without coupling those paths to one vendor's internal runtime model.</w:t>
      </w:r>
    </w:p>
    <w:p>
      <w:pPr>
        <w:spacing w:before="0" w:after="120" w:line="276" w:lineRule="auto"/>
      </w:pPr>
      <w:r>
        <w:rPr>
          <w:rFonts w:ascii="Calibri" w:hAnsi="Calibri"/>
          <w:b w:val="0"/>
          <w:i w:val="0"/>
          <w:color w:val="111827"/>
          <w:sz w:val="22"/>
        </w:rPr>
        <w:t>A usable standard must do more than explain the category. It must define the package someone downloads, the fields they must populate, the rules a validator enforces, and the behaviors a runtime must preserve if it claims conformance.</w:t>
      </w:r>
    </w:p>
    <w:p>
      <w:pPr>
        <w:pStyle w:val="Heading1"/>
      </w:pPr>
      <w:r>
        <w:t>2. What A Reader Must Be Able To Build</w:t>
      </w:r>
    </w:p>
    <w:p>
      <w:pPr>
        <w:spacing w:before="0" w:after="120" w:line="276" w:lineRule="auto"/>
      </w:pPr>
      <w:r>
        <w:rPr>
          <w:rFonts w:ascii="Calibri" w:hAnsi="Calibri"/>
          <w:b w:val="0"/>
          <w:i w:val="0"/>
          <w:color w:val="111827"/>
          <w:sz w:val="22"/>
        </w:rPr>
        <w:t>A conformant public release of this standard SHOULD let a third party do the following without private guidance:</w:t>
      </w:r>
    </w:p>
    <w:p>
      <w:pPr>
        <w:pStyle w:val="ListBullet"/>
        <w:spacing w:before="0" w:after="80" w:line="269" w:lineRule="auto"/>
      </w:pPr>
      <w:r>
        <w:rPr>
          <w:rFonts w:ascii="Calibri" w:hAnsi="Calibri"/>
          <w:b w:val="0"/>
          <w:i w:val="0"/>
          <w:color w:val="111827"/>
          <w:sz w:val="22"/>
        </w:rPr>
        <w:t>Author a valid Operating Path package from a business process or operational use case.</w:t>
      </w:r>
    </w:p>
    <w:p>
      <w:pPr>
        <w:pStyle w:val="ListBullet"/>
        <w:spacing w:before="0" w:after="80" w:line="269" w:lineRule="auto"/>
      </w:pPr>
      <w:r>
        <w:rPr>
          <w:rFonts w:ascii="Calibri" w:hAnsi="Calibri"/>
          <w:b w:val="0"/>
          <w:i w:val="0"/>
          <w:color w:val="111827"/>
          <w:sz w:val="22"/>
        </w:rPr>
        <w:t>Validate that package structurally and semantically.</w:t>
      </w:r>
    </w:p>
    <w:p>
      <w:pPr>
        <w:pStyle w:val="ListBullet"/>
        <w:spacing w:before="0" w:after="80" w:line="269" w:lineRule="auto"/>
      </w:pPr>
      <w:r>
        <w:rPr>
          <w:rFonts w:ascii="Calibri" w:hAnsi="Calibri"/>
          <w:b w:val="0"/>
          <w:i w:val="0"/>
          <w:color w:val="111827"/>
          <w:sz w:val="22"/>
        </w:rPr>
        <w:t>Import the package into a registry, marketplace, or runtime.</w:t>
      </w:r>
    </w:p>
    <w:p>
      <w:pPr>
        <w:pStyle w:val="ListBullet"/>
        <w:spacing w:before="0" w:after="80" w:line="269" w:lineRule="auto"/>
      </w:pPr>
      <w:r>
        <w:rPr>
          <w:rFonts w:ascii="Calibri" w:hAnsi="Calibri"/>
          <w:b w:val="0"/>
          <w:i w:val="0"/>
          <w:color w:val="111827"/>
          <w:sz w:val="22"/>
        </w:rPr>
        <w:t>Execute the package through a decision -&gt; governance -&gt; action model with evidence and audit preserved.</w:t>
      </w:r>
    </w:p>
    <w:tbl>
      <w:tblPr>
        <w:tblStyle w:val="TableGrid"/>
        <w:tblW w:type="dxa" w:w="9360"/>
        <w:jc w:val="left"/>
        <w:tblLook w:firstColumn="1" w:firstRow="1" w:lastColumn="0" w:lastRow="0" w:noHBand="0" w:noVBand="1" w:val="04A0"/>
        <w:tblInd w:type="dxa" w:w="120"/>
      </w:tblPr>
      <w:tblGrid>
        <w:gridCol w:w="9360"/>
      </w:tblGrid>
      <w:tr>
        <w:tc>
          <w:tcPr>
            <w:tcW w:type="dxa" w:w="9360"/>
            <w:shd w:fill="EAF2FB"/>
            <w:tcMar>
              <w:top w:w="110" w:type="dxa"/>
              <w:bottom w:w="110" w:type="dxa"/>
              <w:start w:w="160" w:type="dxa"/>
              <w:end w:w="160" w:type="dxa"/>
            </w:tcMar>
          </w:tcPr>
          <w:p>
            <w:pPr>
              <w:spacing w:before="0" w:after="40" w:line="240" w:lineRule="auto"/>
            </w:pPr>
            <w:r/>
            <w:r>
              <w:rPr>
                <w:rFonts w:ascii="Calibri" w:hAnsi="Calibri"/>
                <w:b/>
                <w:i w:val="0"/>
                <w:color w:val="1F4D78"/>
                <w:sz w:val="22"/>
              </w:rPr>
              <w:t>Practical test</w:t>
            </w:r>
          </w:p>
          <w:p>
            <w:pPr>
              <w:spacing w:before="0" w:after="0" w:line="269" w:lineRule="auto"/>
            </w:pPr>
            <w:r>
              <w:rPr>
                <w:rFonts w:ascii="Calibri" w:hAnsi="Calibri"/>
                <w:b w:val="0"/>
                <w:i w:val="0"/>
                <w:color w:val="111827"/>
                <w:sz w:val="21"/>
              </w:rPr>
              <w:t>If a developer can read the document and still cannot build an authoring tool, validator, registry adapter, or runtime adapter, the standard is not yet complete enough.</w:t>
            </w:r>
          </w:p>
        </w:tc>
      </w:tr>
    </w:tbl>
    <w:p>
      <w:pPr>
        <w:pStyle w:val="Heading1"/>
      </w:pPr>
      <w:r>
        <w:t>3. Normative Language</w:t>
      </w:r>
    </w:p>
    <w:p>
      <w:pPr>
        <w:spacing w:before="0" w:after="120" w:line="276" w:lineRule="auto"/>
      </w:pPr>
      <w:r>
        <w:rPr>
          <w:rFonts w:ascii="Calibri" w:hAnsi="Calibri"/>
          <w:b w:val="0"/>
          <w:i w:val="0"/>
          <w:color w:val="111827"/>
          <w:sz w:val="22"/>
        </w:rPr>
        <w:t>The key words MUST, MUST NOT, SHOULD, SHOULD NOT, and MAY in this document indicate requirement strength. MUST indicates a mandatory requirement for conformance. SHOULD indicates a strong recommendation that may be overridden only with documented reason. MAY indicates an optional capability.</w:t>
      </w:r>
    </w:p>
    <w:p>
      <w:pPr>
        <w:pStyle w:val="Heading1"/>
      </w:pPr>
      <w:r>
        <w:t>4. Core Principles</w:t>
      </w:r>
    </w:p>
    <w:p>
      <w:pPr>
        <w:pStyle w:val="ListBullet"/>
        <w:spacing w:before="0" w:after="80" w:line="269" w:lineRule="auto"/>
      </w:pPr>
      <w:r>
        <w:rPr>
          <w:rFonts w:ascii="Calibri" w:hAnsi="Calibri"/>
          <w:b w:val="0"/>
          <w:i w:val="0"/>
          <w:color w:val="111827"/>
          <w:sz w:val="22"/>
        </w:rPr>
        <w:t>Decision is a first-class primitive. Every meaningful action MUST be preceded by an explicit decision object or decision outcome.</w:t>
      </w:r>
    </w:p>
    <w:p>
      <w:pPr>
        <w:pStyle w:val="ListBullet"/>
        <w:spacing w:before="0" w:after="80" w:line="269" w:lineRule="auto"/>
      </w:pPr>
      <w:r>
        <w:rPr>
          <w:rFonts w:ascii="Calibri" w:hAnsi="Calibri"/>
          <w:b w:val="0"/>
          <w:i w:val="0"/>
          <w:color w:val="111827"/>
          <w:sz w:val="22"/>
        </w:rPr>
        <w:t>Governance is distinct from execution. A conformant package MUST separate what should happen from whether it is allowed to happen.</w:t>
      </w:r>
    </w:p>
    <w:p>
      <w:pPr>
        <w:pStyle w:val="ListBullet"/>
        <w:spacing w:before="0" w:after="80" w:line="269" w:lineRule="auto"/>
      </w:pPr>
      <w:r>
        <w:rPr>
          <w:rFonts w:ascii="Calibri" w:hAnsi="Calibri"/>
          <w:b w:val="0"/>
          <w:i w:val="0"/>
          <w:color w:val="111827"/>
          <w:sz w:val="22"/>
        </w:rPr>
        <w:t>COR is the system of truth. Context assembly, evidence, and outcome records MUST be grounded in a correlated operating record or equivalent runtime truth model.</w:t>
      </w:r>
    </w:p>
    <w:p>
      <w:pPr>
        <w:pStyle w:val="ListBullet"/>
        <w:spacing w:before="0" w:after="80" w:line="269" w:lineRule="auto"/>
      </w:pPr>
      <w:r>
        <w:rPr>
          <w:rFonts w:ascii="Calibri" w:hAnsi="Calibri"/>
          <w:b w:val="0"/>
          <w:i w:val="0"/>
          <w:color w:val="111827"/>
          <w:sz w:val="22"/>
        </w:rPr>
        <w:t>Human fallback is mandatory for high-risk, denied, ambiguous, or incomplete situations.</w:t>
      </w:r>
    </w:p>
    <w:p>
      <w:pPr>
        <w:pStyle w:val="ListBullet"/>
        <w:spacing w:before="0" w:after="80" w:line="269" w:lineRule="auto"/>
      </w:pPr>
      <w:r>
        <w:rPr>
          <w:rFonts w:ascii="Calibri" w:hAnsi="Calibri"/>
          <w:b w:val="0"/>
          <w:i w:val="0"/>
          <w:color w:val="111827"/>
          <w:sz w:val="22"/>
        </w:rPr>
        <w:t>AI MAY recommend, classify, summarize, or prepare actions, but it MUST NOT bypass policy, approval, or evidence requirements.</w:t>
      </w:r>
    </w:p>
    <w:p>
      <w:pPr>
        <w:pStyle w:val="ListBullet"/>
        <w:spacing w:before="0" w:after="80" w:line="269" w:lineRule="auto"/>
      </w:pPr>
      <w:r>
        <w:rPr>
          <w:rFonts w:ascii="Calibri" w:hAnsi="Calibri"/>
          <w:b w:val="0"/>
          <w:i w:val="0"/>
          <w:color w:val="111827"/>
          <w:sz w:val="22"/>
        </w:rPr>
        <w:t>Outcome and evidence are first-class. A path is not complete when action fires; it is complete when outcome is validated and evidenced.</w:t>
      </w:r>
    </w:p>
    <w:p>
      <w:pPr>
        <w:pStyle w:val="Heading1"/>
      </w:pPr>
      <w:r>
        <w:t>5. Canonical Operating Model</w:t>
      </w:r>
    </w:p>
    <w:p>
      <w:pPr>
        <w:spacing w:before="0" w:after="120" w:line="276" w:lineRule="auto"/>
      </w:pPr>
      <w:r>
        <w:rPr>
          <w:rFonts w:ascii="Calibri" w:hAnsi="Calibri"/>
          <w:b w:val="0"/>
          <w:i w:val="0"/>
          <w:color w:val="111827"/>
          <w:sz w:val="22"/>
        </w:rPr>
        <w:t>Every conformant Operating Specification MUST preserve the same canonical model:</w:t>
      </w:r>
    </w:p>
    <w:tbl>
      <w:tblPr>
        <w:tblStyle w:val="TableGrid"/>
        <w:tblW w:type="dxa" w:w="9360"/>
        <w:jc w:val="left"/>
        <w:tblLook w:firstColumn="1" w:firstRow="1" w:lastColumn="0" w:lastRow="0" w:noHBand="0" w:noVBand="1" w:val="04A0"/>
        <w:tblInd w:type="dxa" w:w="120"/>
      </w:tblPr>
      <w:tblGrid>
        <w:gridCol w:w="9360"/>
      </w:tblGrid>
      <w:tr>
        <w:tc>
          <w:tcPr>
            <w:tcW w:type="dxa" w:w="9360"/>
            <w:shd w:fill="EAF2FB"/>
            <w:tcMar>
              <w:top w:w="110" w:type="dxa"/>
              <w:bottom w:w="110" w:type="dxa"/>
              <w:start w:w="160" w:type="dxa"/>
              <w:end w:w="160" w:type="dxa"/>
            </w:tcMar>
          </w:tcPr>
          <w:p>
            <w:pPr>
              <w:spacing w:before="0" w:after="40" w:line="240" w:lineRule="auto"/>
            </w:pPr>
            <w:r/>
            <w:r>
              <w:rPr>
                <w:rFonts w:ascii="Calibri" w:hAnsi="Calibri"/>
                <w:b/>
                <w:i w:val="0"/>
                <w:color w:val="1F4D78"/>
                <w:sz w:val="22"/>
              </w:rPr>
              <w:t>Canonical flow</w:t>
            </w:r>
          </w:p>
          <w:p>
            <w:pPr>
              <w:spacing w:before="0" w:after="0" w:line="269" w:lineRule="auto"/>
            </w:pPr>
            <w:r>
              <w:rPr>
                <w:rFonts w:ascii="Calibri" w:hAnsi="Calibri"/>
                <w:b w:val="0"/>
                <w:i w:val="0"/>
                <w:color w:val="111827"/>
                <w:sz w:val="21"/>
              </w:rPr>
              <w:t>Signal -&gt; COR -&gt; Decision -&gt; Governance -&gt; Execution -&gt; Outcome + Evidence</w:t>
            </w:r>
          </w:p>
        </w:tc>
      </w:tr>
    </w:tbl>
    <w:p>
      <w:pPr>
        <w:spacing w:before="0" w:after="120" w:line="276" w:lineRule="auto"/>
      </w:pPr>
      <w:r>
        <w:rPr>
          <w:rFonts w:ascii="Calibri" w:hAnsi="Calibri"/>
          <w:b w:val="0"/>
          <w:i w:val="0"/>
          <w:color w:val="111827"/>
          <w:sz w:val="22"/>
        </w:rPr>
        <w:t>Implementations MAY add simulation, learning, marketplace, or optimization layers, but they MUST NOT collapse or bypass decision and governance as separate concerns.</w:t>
      </w:r>
    </w:p>
    <w:p>
      <w:pPr>
        <w:pStyle w:val="Heading1"/>
      </w:pPr>
      <w:r>
        <w:t>6. Standard Object Model</w:t>
      </w:r>
    </w:p>
    <w:tbl>
      <w:tblPr>
        <w:tblStyle w:val="TableGrid"/>
        <w:tblW w:type="dxa" w:w="9360"/>
        <w:jc w:val="left"/>
        <w:tblLook w:firstColumn="1" w:firstRow="1" w:lastColumn="0" w:lastRow="0" w:noHBand="0" w:noVBand="1" w:val="04A0"/>
        <w:tblInd w:type="dxa" w:w="120"/>
      </w:tblPr>
      <w:tblGrid>
        <w:gridCol w:w="2400"/>
        <w:gridCol w:w="6960"/>
      </w:tblGrid>
      <w:tr>
        <w:tc>
          <w:tcPr>
            <w:tcW w:type="dxa" w:w="2400"/>
            <w:shd w:fill="F3F4F6"/>
            <w:vAlign w:val="center"/>
            <w:tcMar>
              <w:top w:w="80" w:type="dxa"/>
              <w:bottom w:w="80" w:type="dxa"/>
              <w:start w:w="120" w:type="dxa"/>
              <w:end w:w="120" w:type="dxa"/>
            </w:tcMar>
          </w:tcPr>
          <w:p>
            <w:pPr>
              <w:spacing w:before="0" w:after="40" w:line="264" w:lineRule="auto"/>
              <w:jc w:val="left"/>
            </w:pPr>
            <w:r/>
            <w:r>
              <w:rPr>
                <w:rFonts w:ascii="Calibri" w:hAnsi="Calibri"/>
                <w:b/>
                <w:i w:val="0"/>
                <w:color w:val="111827"/>
                <w:sz w:val="21"/>
              </w:rPr>
              <w:t>Object</w:t>
            </w:r>
          </w:p>
        </w:tc>
        <w:tc>
          <w:tcPr>
            <w:tcW w:type="dxa" w:w="6960"/>
            <w:shd w:fill="F3F4F6"/>
            <w:vAlign w:val="center"/>
            <w:tcMar>
              <w:top w:w="80" w:type="dxa"/>
              <w:bottom w:w="80" w:type="dxa"/>
              <w:start w:w="120" w:type="dxa"/>
              <w:end w:w="120" w:type="dxa"/>
            </w:tcMar>
          </w:tcPr>
          <w:p>
            <w:pPr>
              <w:spacing w:before="0" w:after="40" w:line="264" w:lineRule="auto"/>
              <w:jc w:val="left"/>
            </w:pPr>
            <w:r/>
            <w:r>
              <w:rPr>
                <w:rFonts w:ascii="Calibri" w:hAnsi="Calibri"/>
                <w:b/>
                <w:i w:val="0"/>
                <w:color w:val="111827"/>
                <w:sz w:val="21"/>
              </w:rPr>
              <w:t>Definition</w:t>
            </w:r>
          </w:p>
        </w:tc>
      </w:tr>
      <w:tr>
        <w:tc>
          <w:tcPr>
            <w:tcW w:type="dxa" w:w="2400"/>
            <w:vAlign w:val="center"/>
            <w:tcMar>
              <w:top w:w="80" w:type="dxa"/>
              <w:bottom w:w="80" w:type="dxa"/>
              <w:start w:w="120" w:type="dxa"/>
              <w:end w:w="120" w:type="dxa"/>
            </w:tcMar>
          </w:tcPr>
          <w:p>
            <w:pPr>
              <w:spacing w:before="0" w:after="40" w:line="264" w:lineRule="auto"/>
              <w:jc w:val="left"/>
            </w:pPr>
            <w:r/>
            <w:r>
              <w:rPr>
                <w:rFonts w:ascii="Calibri" w:hAnsi="Calibri"/>
                <w:b w:val="0"/>
                <w:i w:val="0"/>
                <w:color w:val="111827"/>
                <w:sz w:val="21"/>
              </w:rPr>
              <w:t>Operating Specification</w:t>
            </w:r>
          </w:p>
        </w:tc>
        <w:tc>
          <w:tcPr>
            <w:tcW w:type="dxa" w:w="6960"/>
            <w:vAlign w:val="center"/>
            <w:tcMar>
              <w:top w:w="80" w:type="dxa"/>
              <w:bottom w:w="80" w:type="dxa"/>
              <w:start w:w="120" w:type="dxa"/>
              <w:end w:w="120" w:type="dxa"/>
            </w:tcMar>
          </w:tcPr>
          <w:p>
            <w:pPr>
              <w:spacing w:before="0" w:after="40" w:line="264" w:lineRule="auto"/>
              <w:jc w:val="left"/>
            </w:pPr>
            <w:r/>
            <w:r>
              <w:rPr>
                <w:rFonts w:ascii="Calibri" w:hAnsi="Calibri"/>
                <w:b w:val="0"/>
                <w:i w:val="0"/>
                <w:color w:val="111827"/>
                <w:sz w:val="21"/>
              </w:rPr>
              <w:t>The governed planning contract that describes purpose, scope, inputs, decisions, controls, action boundaries, evidence, outcomes, and lifecycle metadata.</w:t>
            </w:r>
          </w:p>
        </w:tc>
      </w:tr>
      <w:tr>
        <w:tc>
          <w:tcPr>
            <w:tcW w:type="dxa" w:w="2400"/>
            <w:vAlign w:val="center"/>
            <w:tcMar>
              <w:top w:w="80" w:type="dxa"/>
              <w:bottom w:w="80" w:type="dxa"/>
              <w:start w:w="120" w:type="dxa"/>
              <w:end w:w="120" w:type="dxa"/>
            </w:tcMar>
          </w:tcPr>
          <w:p>
            <w:pPr>
              <w:spacing w:before="0" w:after="40" w:line="264" w:lineRule="auto"/>
              <w:jc w:val="left"/>
            </w:pPr>
            <w:r/>
            <w:r>
              <w:rPr>
                <w:rFonts w:ascii="Calibri" w:hAnsi="Calibri"/>
                <w:b w:val="0"/>
                <w:i w:val="0"/>
                <w:color w:val="111827"/>
                <w:sz w:val="21"/>
              </w:rPr>
              <w:t>Operating Path</w:t>
            </w:r>
          </w:p>
        </w:tc>
        <w:tc>
          <w:tcPr>
            <w:tcW w:type="dxa" w:w="6960"/>
            <w:vAlign w:val="center"/>
            <w:tcMar>
              <w:top w:w="80" w:type="dxa"/>
              <w:bottom w:w="80" w:type="dxa"/>
              <w:start w:w="120" w:type="dxa"/>
              <w:end w:w="120" w:type="dxa"/>
            </w:tcMar>
          </w:tcPr>
          <w:p>
            <w:pPr>
              <w:spacing w:before="0" w:after="40" w:line="264" w:lineRule="auto"/>
              <w:jc w:val="left"/>
            </w:pPr>
            <w:r/>
            <w:r>
              <w:rPr>
                <w:rFonts w:ascii="Calibri" w:hAnsi="Calibri"/>
                <w:b w:val="0"/>
                <w:i w:val="0"/>
                <w:color w:val="111827"/>
                <w:sz w:val="21"/>
              </w:rPr>
              <w:t>The executable or executable-ready artifact derived from the Operating Specification and bound to validation, rules, and runtime semantics.</w:t>
            </w:r>
          </w:p>
        </w:tc>
      </w:tr>
      <w:tr>
        <w:tc>
          <w:tcPr>
            <w:tcW w:type="dxa" w:w="2400"/>
            <w:vAlign w:val="center"/>
            <w:tcMar>
              <w:top w:w="80" w:type="dxa"/>
              <w:bottom w:w="80" w:type="dxa"/>
              <w:start w:w="120" w:type="dxa"/>
              <w:end w:w="120" w:type="dxa"/>
            </w:tcMar>
          </w:tcPr>
          <w:p>
            <w:pPr>
              <w:spacing w:before="0" w:after="40" w:line="264" w:lineRule="auto"/>
              <w:jc w:val="left"/>
            </w:pPr>
            <w:r/>
            <w:r>
              <w:rPr>
                <w:rFonts w:ascii="Calibri" w:hAnsi="Calibri"/>
                <w:b w:val="0"/>
                <w:i w:val="0"/>
                <w:color w:val="111827"/>
                <w:sz w:val="21"/>
              </w:rPr>
              <w:t>Operating Package</w:t>
            </w:r>
          </w:p>
        </w:tc>
        <w:tc>
          <w:tcPr>
            <w:tcW w:type="dxa" w:w="6960"/>
            <w:vAlign w:val="center"/>
            <w:tcMar>
              <w:top w:w="80" w:type="dxa"/>
              <w:bottom w:w="80" w:type="dxa"/>
              <w:start w:w="120" w:type="dxa"/>
              <w:end w:w="120" w:type="dxa"/>
            </w:tcMar>
          </w:tcPr>
          <w:p>
            <w:pPr>
              <w:spacing w:before="0" w:after="40" w:line="264" w:lineRule="auto"/>
              <w:jc w:val="left"/>
            </w:pPr>
            <w:r/>
            <w:r>
              <w:rPr>
                <w:rFonts w:ascii="Calibri" w:hAnsi="Calibri"/>
                <w:b w:val="0"/>
                <w:i w:val="0"/>
                <w:color w:val="111827"/>
                <w:sz w:val="21"/>
              </w:rPr>
              <w:t>The downloadable unit that contains the Operating Path plus the schemas, rules, validations, metadata, and examples required for sharing and execution.</w:t>
            </w:r>
          </w:p>
        </w:tc>
      </w:tr>
      <w:tr>
        <w:tc>
          <w:tcPr>
            <w:tcW w:type="dxa" w:w="2400"/>
            <w:vAlign w:val="center"/>
            <w:tcMar>
              <w:top w:w="80" w:type="dxa"/>
              <w:bottom w:w="80" w:type="dxa"/>
              <w:start w:w="120" w:type="dxa"/>
              <w:end w:w="120" w:type="dxa"/>
            </w:tcMar>
          </w:tcPr>
          <w:p>
            <w:pPr>
              <w:spacing w:before="0" w:after="40" w:line="264" w:lineRule="auto"/>
              <w:jc w:val="left"/>
            </w:pPr>
            <w:r/>
            <w:r>
              <w:rPr>
                <w:rFonts w:ascii="Calibri" w:hAnsi="Calibri"/>
                <w:b w:val="0"/>
                <w:i w:val="0"/>
                <w:color w:val="111827"/>
                <w:sz w:val="21"/>
              </w:rPr>
              <w:t>Runtime</w:t>
            </w:r>
          </w:p>
        </w:tc>
        <w:tc>
          <w:tcPr>
            <w:tcW w:type="dxa" w:w="6960"/>
            <w:vAlign w:val="center"/>
            <w:tcMar>
              <w:top w:w="80" w:type="dxa"/>
              <w:bottom w:w="80" w:type="dxa"/>
              <w:start w:w="120" w:type="dxa"/>
              <w:end w:w="120" w:type="dxa"/>
            </w:tcMar>
          </w:tcPr>
          <w:p>
            <w:pPr>
              <w:spacing w:before="0" w:after="40" w:line="264" w:lineRule="auto"/>
              <w:jc w:val="left"/>
            </w:pPr>
            <w:r/>
            <w:r>
              <w:rPr>
                <w:rFonts w:ascii="Calibri" w:hAnsi="Calibri"/>
                <w:b w:val="0"/>
                <w:i w:val="0"/>
                <w:color w:val="111827"/>
                <w:sz w:val="21"/>
              </w:rPr>
              <w:t>The execution foundation that assembles context, evaluates decisions, enforces governance, coordinates execution, captures evidence, and validates outcomes.</w:t>
            </w:r>
          </w:p>
        </w:tc>
      </w:tr>
      <w:tr>
        <w:tc>
          <w:tcPr>
            <w:tcW w:type="dxa" w:w="2400"/>
            <w:vAlign w:val="center"/>
            <w:tcMar>
              <w:top w:w="80" w:type="dxa"/>
              <w:bottom w:w="80" w:type="dxa"/>
              <w:start w:w="120" w:type="dxa"/>
              <w:end w:w="120" w:type="dxa"/>
            </w:tcMar>
          </w:tcPr>
          <w:p>
            <w:pPr>
              <w:spacing w:before="0" w:after="40" w:line="264" w:lineRule="auto"/>
              <w:jc w:val="left"/>
            </w:pPr>
            <w:r/>
            <w:r>
              <w:rPr>
                <w:rFonts w:ascii="Calibri" w:hAnsi="Calibri"/>
                <w:b w:val="0"/>
                <w:i w:val="0"/>
                <w:color w:val="111827"/>
                <w:sz w:val="21"/>
              </w:rPr>
              <w:t>COR</w:t>
            </w:r>
          </w:p>
        </w:tc>
        <w:tc>
          <w:tcPr>
            <w:tcW w:type="dxa" w:w="6960"/>
            <w:vAlign w:val="center"/>
            <w:tcMar>
              <w:top w:w="80" w:type="dxa"/>
              <w:bottom w:w="80" w:type="dxa"/>
              <w:start w:w="120" w:type="dxa"/>
              <w:end w:w="120" w:type="dxa"/>
            </w:tcMar>
          </w:tcPr>
          <w:p>
            <w:pPr>
              <w:spacing w:before="0" w:after="40" w:line="264" w:lineRule="auto"/>
              <w:jc w:val="left"/>
            </w:pPr>
            <w:r/>
            <w:r>
              <w:rPr>
                <w:rFonts w:ascii="Calibri" w:hAnsi="Calibri"/>
                <w:b w:val="0"/>
                <w:i w:val="0"/>
                <w:color w:val="111827"/>
                <w:sz w:val="21"/>
              </w:rPr>
              <w:t>Correlated Operating Record or equivalent system of truth used to ground context, decisions, and evidence across the path lifecycle.</w:t>
            </w:r>
          </w:p>
        </w:tc>
      </w:tr>
    </w:tbl>
    <w:p>
      <w:pPr>
        <w:pStyle w:val="Heading1"/>
      </w:pPr>
      <w:r>
        <w:t>7. Required Downloadable Package</w:t>
      </w:r>
    </w:p>
    <w:p>
      <w:pPr>
        <w:spacing w:before="0" w:after="120" w:line="276" w:lineRule="auto"/>
      </w:pPr>
      <w:r>
        <w:rPr>
          <w:rFonts w:ascii="Calibri" w:hAnsi="Calibri"/>
          <w:b w:val="0"/>
          <w:i w:val="0"/>
          <w:color w:val="111827"/>
          <w:sz w:val="22"/>
        </w:rPr>
        <w:t>A standard-compliant public release SHOULD be publishable as a package that an implementer can download and inspect without hidden dependencies. At minimum, a sharable Operating Package SHOULD include:</w:t>
      </w:r>
    </w:p>
    <w:p>
      <w:pPr>
        <w:pStyle w:val="ListBullet"/>
        <w:spacing w:before="0" w:after="80" w:line="269" w:lineRule="auto"/>
      </w:pPr>
      <w:r>
        <w:rPr>
          <w:rFonts w:ascii="Calibri" w:hAnsi="Calibri"/>
          <w:b w:val="0"/>
          <w:i w:val="0"/>
          <w:color w:val="111827"/>
          <w:sz w:val="22"/>
        </w:rPr>
        <w:t>One primary Operating Path definition in YAML or JSON.</w:t>
      </w:r>
    </w:p>
    <w:p>
      <w:pPr>
        <w:pStyle w:val="ListBullet"/>
        <w:spacing w:before="0" w:after="80" w:line="269" w:lineRule="auto"/>
      </w:pPr>
      <w:r>
        <w:rPr>
          <w:rFonts w:ascii="Calibri" w:hAnsi="Calibri"/>
          <w:b w:val="0"/>
          <w:i w:val="0"/>
          <w:color w:val="111827"/>
          <w:sz w:val="22"/>
        </w:rPr>
        <w:t>A published schema reference for the primary document shape.</w:t>
      </w:r>
    </w:p>
    <w:p>
      <w:pPr>
        <w:pStyle w:val="ListBullet"/>
        <w:spacing w:before="0" w:after="80" w:line="269" w:lineRule="auto"/>
      </w:pPr>
      <w:r>
        <w:rPr>
          <w:rFonts w:ascii="Calibri" w:hAnsi="Calibri"/>
          <w:b w:val="0"/>
          <w:i w:val="0"/>
          <w:color w:val="111827"/>
          <w:sz w:val="22"/>
        </w:rPr>
        <w:t>A semantic or entity model definition when entity expectations matter.</w:t>
      </w:r>
    </w:p>
    <w:p>
      <w:pPr>
        <w:pStyle w:val="ListBullet"/>
        <w:spacing w:before="0" w:after="80" w:line="269" w:lineRule="auto"/>
      </w:pPr>
      <w:r>
        <w:rPr>
          <w:rFonts w:ascii="Calibri" w:hAnsi="Calibri"/>
          <w:b w:val="0"/>
          <w:i w:val="0"/>
          <w:color w:val="111827"/>
          <w:sz w:val="22"/>
        </w:rPr>
        <w:t>A rules artifact describing decision or governance logic boundaries.</w:t>
      </w:r>
    </w:p>
    <w:p>
      <w:pPr>
        <w:pStyle w:val="ListBullet"/>
        <w:spacing w:before="0" w:after="80" w:line="269" w:lineRule="auto"/>
      </w:pPr>
      <w:r>
        <w:rPr>
          <w:rFonts w:ascii="Calibri" w:hAnsi="Calibri"/>
          <w:b w:val="0"/>
          <w:i w:val="0"/>
          <w:color w:val="111827"/>
          <w:sz w:val="22"/>
        </w:rPr>
        <w:t>A validation model or outcome validation artifact.</w:t>
      </w:r>
    </w:p>
    <w:p>
      <w:pPr>
        <w:pStyle w:val="ListBullet"/>
        <w:spacing w:before="0" w:after="80" w:line="269" w:lineRule="auto"/>
      </w:pPr>
      <w:r>
        <w:rPr>
          <w:rFonts w:ascii="Calibri" w:hAnsi="Calibri"/>
          <w:b w:val="0"/>
          <w:i w:val="0"/>
          <w:color w:val="111827"/>
          <w:sz w:val="22"/>
        </w:rPr>
        <w:t>Human-readable documentation explaining intent, lifecycle, and usage.</w:t>
      </w:r>
    </w:p>
    <w:p>
      <w:pPr>
        <w:pStyle w:val="ListBullet"/>
        <w:spacing w:before="0" w:after="80" w:line="269" w:lineRule="auto"/>
      </w:pPr>
      <w:r>
        <w:rPr>
          <w:rFonts w:ascii="Calibri" w:hAnsi="Calibri"/>
          <w:b w:val="0"/>
          <w:i w:val="0"/>
          <w:color w:val="111827"/>
          <w:sz w:val="22"/>
        </w:rPr>
        <w:t>At least one example package or simulation-ready reference case.</w:t>
      </w:r>
    </w:p>
    <w:p>
      <w:pPr>
        <w:spacing w:before="0" w:after="120" w:line="276" w:lineRule="auto"/>
      </w:pPr>
      <w:r>
        <w:rPr>
          <w:rFonts w:ascii="Calibri" w:hAnsi="Calibri"/>
          <w:b w:val="0"/>
          <w:i w:val="0"/>
          <w:color w:val="111827"/>
          <w:sz w:val="22"/>
        </w:rPr>
        <w:t>Recommended package layout:</w:t>
      </w:r>
    </w:p>
    <w:tbl>
      <w:tblPr>
        <w:tblStyle w:val="TableGrid"/>
        <w:tblW w:type="dxa" w:w="9360"/>
        <w:jc w:val="left"/>
        <w:tblLook w:firstColumn="1" w:firstRow="1" w:lastColumn="0" w:lastRow="0" w:noHBand="0" w:noVBand="1" w:val="04A0"/>
        <w:tblInd w:type="dxa" w:w="120"/>
      </w:tblPr>
      <w:tblGrid>
        <w:gridCol w:w="9360"/>
      </w:tblGrid>
      <w:tr>
        <w:tc>
          <w:tcPr>
            <w:tcW w:type="dxa" w:w="9360"/>
            <w:shd w:fill="F3F4F6"/>
            <w:tcMar>
              <w:top w:w="100" w:type="dxa"/>
              <w:bottom w:w="100" w:type="dxa"/>
              <w:start w:w="140" w:type="dxa"/>
              <w:end w:w="140" w:type="dxa"/>
            </w:tcMar>
          </w:tcPr>
          <w:p>
            <w:pPr>
              <w:spacing w:before="0" w:after="0" w:line="252" w:lineRule="auto"/>
            </w:pPr>
            <w:r/>
            <w:r>
              <w:rPr>
                <w:rFonts w:ascii="Courier New" w:hAnsi="Courier New"/>
                <w:b w:val="0"/>
                <w:i w:val="0"/>
                <w:color w:val="111827"/>
                <w:sz w:val="19"/>
              </w:rPr>
              <w:t>operating-package/</w:t>
              <w:br/>
            </w:r>
            <w:r>
              <w:rPr>
                <w:rFonts w:ascii="Courier New" w:hAnsi="Courier New"/>
                <w:b w:val="0"/>
                <w:i w:val="0"/>
                <w:color w:val="111827"/>
                <w:sz w:val="19"/>
              </w:rPr>
              <w:t xml:space="preserve">  README.md</w:t>
              <w:br/>
            </w:r>
            <w:r>
              <w:rPr>
                <w:rFonts w:ascii="Courier New" w:hAnsi="Courier New"/>
                <w:b w:val="0"/>
                <w:i w:val="0"/>
                <w:color w:val="111827"/>
                <w:sz w:val="19"/>
              </w:rPr>
              <w:t xml:space="preserve">  package.yaml</w:t>
              <w:br/>
            </w:r>
            <w:r>
              <w:rPr>
                <w:rFonts w:ascii="Courier New" w:hAnsi="Courier New"/>
                <w:b w:val="0"/>
                <w:i w:val="0"/>
                <w:color w:val="111827"/>
                <w:sz w:val="19"/>
              </w:rPr>
              <w:t xml:space="preserve">  schema/</w:t>
              <w:br/>
            </w:r>
            <w:r>
              <w:rPr>
                <w:rFonts w:ascii="Courier New" w:hAnsi="Courier New"/>
                <w:b w:val="0"/>
                <w:i w:val="0"/>
                <w:color w:val="111827"/>
                <w:sz w:val="19"/>
              </w:rPr>
              <w:t xml:space="preserve">    operating-path.schema.json</w:t>
              <w:br/>
            </w:r>
            <w:r>
              <w:rPr>
                <w:rFonts w:ascii="Courier New" w:hAnsi="Courier New"/>
                <w:b w:val="0"/>
                <w:i w:val="0"/>
                <w:color w:val="111827"/>
                <w:sz w:val="19"/>
              </w:rPr>
              <w:t xml:space="preserve">  paths/</w:t>
              <w:br/>
            </w:r>
            <w:r>
              <w:rPr>
                <w:rFonts w:ascii="Courier New" w:hAnsi="Courier New"/>
                <w:b w:val="0"/>
                <w:i w:val="0"/>
                <w:color w:val="111827"/>
                <w:sz w:val="19"/>
              </w:rPr>
              <w:t xml:space="preserve">    critical-vulnerability-governance.yaml</w:t>
              <w:br/>
            </w:r>
            <w:r>
              <w:rPr>
                <w:rFonts w:ascii="Courier New" w:hAnsi="Courier New"/>
                <w:b w:val="0"/>
                <w:i w:val="0"/>
                <w:color w:val="111827"/>
                <w:sz w:val="19"/>
              </w:rPr>
              <w:t xml:space="preserve">  semantic/</w:t>
              <w:br/>
            </w:r>
            <w:r>
              <w:rPr>
                <w:rFonts w:ascii="Courier New" w:hAnsi="Courier New"/>
                <w:b w:val="0"/>
                <w:i w:val="0"/>
                <w:color w:val="111827"/>
                <w:sz w:val="19"/>
              </w:rPr>
              <w:t xml:space="preserve">    critical-vulnerability.semantic.json</w:t>
              <w:br/>
            </w:r>
            <w:r>
              <w:rPr>
                <w:rFonts w:ascii="Courier New" w:hAnsi="Courier New"/>
                <w:b w:val="0"/>
                <w:i w:val="0"/>
                <w:color w:val="111827"/>
                <w:sz w:val="19"/>
              </w:rPr>
              <w:t xml:space="preserve">  rules/</w:t>
              <w:br/>
            </w:r>
            <w:r>
              <w:rPr>
                <w:rFonts w:ascii="Courier New" w:hAnsi="Courier New"/>
                <w:b w:val="0"/>
                <w:i w:val="0"/>
                <w:color w:val="111827"/>
                <w:sz w:val="19"/>
              </w:rPr>
              <w:t xml:space="preserve">    critical-vulnerability.rules.json</w:t>
              <w:br/>
            </w:r>
            <w:r>
              <w:rPr>
                <w:rFonts w:ascii="Courier New" w:hAnsi="Courier New"/>
                <w:b w:val="0"/>
                <w:i w:val="0"/>
                <w:color w:val="111827"/>
                <w:sz w:val="19"/>
              </w:rPr>
              <w:t xml:space="preserve">  validation/</w:t>
              <w:br/>
            </w:r>
            <w:r>
              <w:rPr>
                <w:rFonts w:ascii="Courier New" w:hAnsi="Courier New"/>
                <w:b w:val="0"/>
                <w:i w:val="0"/>
                <w:color w:val="111827"/>
                <w:sz w:val="19"/>
              </w:rPr>
              <w:t xml:space="preserve">    critical-vulnerability.validation.json</w:t>
              <w:br/>
            </w:r>
            <w:r>
              <w:rPr>
                <w:rFonts w:ascii="Courier New" w:hAnsi="Courier New"/>
                <w:b w:val="0"/>
                <w:i w:val="0"/>
                <w:color w:val="111827"/>
                <w:sz w:val="19"/>
              </w:rPr>
              <w:t xml:space="preserve">  examples/</w:t>
              <w:br/>
            </w:r>
            <w:r>
              <w:rPr>
                <w:rFonts w:ascii="Courier New" w:hAnsi="Courier New"/>
                <w:b w:val="0"/>
                <w:i w:val="0"/>
                <w:color w:val="111827"/>
                <w:sz w:val="19"/>
              </w:rPr>
              <w:t xml:space="preserve">    sample-signals/</w:t>
              <w:br/>
            </w:r>
            <w:r>
              <w:rPr>
                <w:rFonts w:ascii="Courier New" w:hAnsi="Courier New"/>
                <w:b w:val="0"/>
                <w:i w:val="0"/>
                <w:color w:val="111827"/>
                <w:sz w:val="19"/>
              </w:rPr>
              <w:t xml:space="preserve">    sample-outcomes/</w:t>
              <w:br/>
            </w:r>
            <w:r>
              <w:rPr>
                <w:rFonts w:ascii="Courier New" w:hAnsi="Courier New"/>
                <w:b w:val="0"/>
                <w:i w:val="0"/>
                <w:color w:val="111827"/>
                <w:sz w:val="19"/>
              </w:rPr>
              <w:t xml:space="preserve">  docs/</w:t>
              <w:br/>
            </w:r>
            <w:r>
              <w:rPr>
                <w:rFonts w:ascii="Courier New" w:hAnsi="Courier New"/>
                <w:b w:val="0"/>
                <w:i w:val="0"/>
                <w:color w:val="111827"/>
                <w:sz w:val="19"/>
              </w:rPr>
              <w:t xml:space="preserve">    quickstart.md</w:t>
              <w:br/>
            </w:r>
            <w:r>
              <w:rPr>
                <w:rFonts w:ascii="Courier New" w:hAnsi="Courier New"/>
                <w:b w:val="0"/>
                <w:i w:val="0"/>
                <w:color w:val="111827"/>
                <w:sz w:val="19"/>
              </w:rPr>
              <w:t xml:space="preserve">    compatibility.md</w:t>
              <w:br/>
            </w:r>
          </w:p>
        </w:tc>
      </w:tr>
    </w:tbl>
    <w:p>
      <w:pPr>
        <w:pStyle w:val="Heading1"/>
      </w:pPr>
      <w:r>
        <w:t>8. Minimum Implementable Contract</w:t>
      </w:r>
    </w:p>
    <w:p>
      <w:pPr>
        <w:spacing w:before="0" w:after="120" w:line="276" w:lineRule="auto"/>
      </w:pPr>
      <w:r>
        <w:rPr>
          <w:rFonts w:ascii="Calibri" w:hAnsi="Calibri"/>
          <w:b w:val="0"/>
          <w:i w:val="0"/>
          <w:color w:val="111827"/>
          <w:sz w:val="22"/>
        </w:rPr>
        <w:t>A runtime or validator cannot build against philosophy alone. The following logical fields form the minimum implementable contract for a portable Operating Path document.</w:t>
      </w:r>
    </w:p>
    <w:p>
      <w:pPr>
        <w:pStyle w:val="ListBullet"/>
        <w:spacing w:before="0" w:after="80" w:line="269" w:lineRule="auto"/>
      </w:pPr>
      <w:r>
        <w:rPr>
          <w:rFonts w:ascii="Calibri" w:hAnsi="Calibri"/>
          <w:b w:val="0"/>
          <w:i w:val="0"/>
          <w:color w:val="111827"/>
          <w:sz w:val="22"/>
        </w:rPr>
        <w:t>Document identity: apiVersion, kind, metadata.name, metadata.version, metadata.status.</w:t>
      </w:r>
    </w:p>
    <w:p>
      <w:pPr>
        <w:pStyle w:val="ListBullet"/>
        <w:spacing w:before="0" w:after="80" w:line="269" w:lineRule="auto"/>
      </w:pPr>
      <w:r>
        <w:rPr>
          <w:rFonts w:ascii="Calibri" w:hAnsi="Calibri"/>
          <w:b w:val="0"/>
          <w:i w:val="0"/>
          <w:color w:val="111827"/>
          <w:sz w:val="22"/>
        </w:rPr>
        <w:t>Business intent: objective, scope, and desired outcome.</w:t>
      </w:r>
    </w:p>
    <w:p>
      <w:pPr>
        <w:pStyle w:val="ListBullet"/>
        <w:spacing w:before="0" w:after="80" w:line="269" w:lineRule="auto"/>
      </w:pPr>
      <w:r>
        <w:rPr>
          <w:rFonts w:ascii="Calibri" w:hAnsi="Calibri"/>
          <w:b w:val="0"/>
          <w:i w:val="0"/>
          <w:color w:val="111827"/>
          <w:sz w:val="22"/>
        </w:rPr>
        <w:t>Signal contract: qualifying signals, correlation signals, and validation signals.</w:t>
      </w:r>
    </w:p>
    <w:p>
      <w:pPr>
        <w:pStyle w:val="ListBullet"/>
        <w:spacing w:before="0" w:after="80" w:line="269" w:lineRule="auto"/>
      </w:pPr>
      <w:r>
        <w:rPr>
          <w:rFonts w:ascii="Calibri" w:hAnsi="Calibri"/>
          <w:b w:val="0"/>
          <w:i w:val="0"/>
          <w:color w:val="111827"/>
          <w:sz w:val="22"/>
        </w:rPr>
        <w:t>Context contract: required attributes, optional attributes, entities, and relationship expectations.</w:t>
      </w:r>
    </w:p>
    <w:p>
      <w:pPr>
        <w:pStyle w:val="ListBullet"/>
        <w:spacing w:before="0" w:after="80" w:line="269" w:lineRule="auto"/>
      </w:pPr>
      <w:r>
        <w:rPr>
          <w:rFonts w:ascii="Calibri" w:hAnsi="Calibri"/>
          <w:b w:val="0"/>
          <w:i w:val="0"/>
          <w:color w:val="111827"/>
          <w:sz w:val="22"/>
        </w:rPr>
        <w:t>Decision contract: explicit decision objects and their decision boundaries.</w:t>
      </w:r>
    </w:p>
    <w:p>
      <w:pPr>
        <w:pStyle w:val="ListBullet"/>
        <w:spacing w:before="0" w:after="80" w:line="269" w:lineRule="auto"/>
      </w:pPr>
      <w:r>
        <w:rPr>
          <w:rFonts w:ascii="Calibri" w:hAnsi="Calibri"/>
          <w:b w:val="0"/>
          <w:i w:val="0"/>
          <w:color w:val="111827"/>
          <w:sz w:val="22"/>
        </w:rPr>
        <w:t>Governance contract: allow, deny, approval, fallback, and exception conditions.</w:t>
      </w:r>
    </w:p>
    <w:p>
      <w:pPr>
        <w:pStyle w:val="ListBullet"/>
        <w:spacing w:before="0" w:after="80" w:line="269" w:lineRule="auto"/>
      </w:pPr>
      <w:r>
        <w:rPr>
          <w:rFonts w:ascii="Calibri" w:hAnsi="Calibri"/>
          <w:b w:val="0"/>
          <w:i w:val="0"/>
          <w:color w:val="111827"/>
          <w:sz w:val="22"/>
        </w:rPr>
        <w:t>Action contract: bounded allowed actions or action categories.</w:t>
      </w:r>
    </w:p>
    <w:p>
      <w:pPr>
        <w:pStyle w:val="ListBullet"/>
        <w:spacing w:before="0" w:after="80" w:line="269" w:lineRule="auto"/>
      </w:pPr>
      <w:r>
        <w:rPr>
          <w:rFonts w:ascii="Calibri" w:hAnsi="Calibri"/>
          <w:b w:val="0"/>
          <w:i w:val="0"/>
          <w:color w:val="111827"/>
          <w:sz w:val="22"/>
        </w:rPr>
        <w:t>Evidence contract: required audit events, decision trace expectations, and closure proof requirements.</w:t>
      </w:r>
    </w:p>
    <w:p>
      <w:pPr>
        <w:pStyle w:val="ListBullet"/>
        <w:spacing w:before="0" w:after="80" w:line="269" w:lineRule="auto"/>
      </w:pPr>
      <w:r>
        <w:rPr>
          <w:rFonts w:ascii="Calibri" w:hAnsi="Calibri"/>
          <w:b w:val="0"/>
          <w:i w:val="0"/>
          <w:color w:val="111827"/>
          <w:sz w:val="22"/>
        </w:rPr>
        <w:t>Outcome contract: success conditions, metrics, closure criteria, and measurable value.</w:t>
      </w:r>
    </w:p>
    <w:p>
      <w:pPr>
        <w:pStyle w:val="ListBullet"/>
        <w:spacing w:before="0" w:after="80" w:line="269" w:lineRule="auto"/>
      </w:pPr>
      <w:r>
        <w:rPr>
          <w:rFonts w:ascii="Calibri" w:hAnsi="Calibri"/>
          <w:b w:val="0"/>
          <w:i w:val="0"/>
          <w:color w:val="111827"/>
          <w:sz w:val="22"/>
        </w:rPr>
        <w:t>Lifecycle contract: status, provenance, version, compatibility, and supersession metadata.</w:t>
      </w:r>
    </w:p>
    <w:p>
      <w:pPr>
        <w:pStyle w:val="Heading1"/>
      </w:pPr>
      <w:r>
        <w:t>9. Required Top-Level Keys</w:t>
      </w:r>
    </w:p>
    <w:tbl>
      <w:tblPr>
        <w:tblStyle w:val="TableGrid"/>
        <w:tblW w:type="dxa" w:w="9360"/>
        <w:jc w:val="left"/>
        <w:tblLook w:firstColumn="1" w:firstRow="1" w:lastColumn="0" w:lastRow="0" w:noHBand="0" w:noVBand="1" w:val="04A0"/>
        <w:tblInd w:type="dxa" w:w="120"/>
      </w:tblPr>
      <w:tblGrid>
        <w:gridCol w:w="2200"/>
        <w:gridCol w:w="2600"/>
        <w:gridCol w:w="4560"/>
      </w:tblGrid>
      <w:tr>
        <w:tc>
          <w:tcPr>
            <w:tcW w:type="dxa" w:w="2200"/>
            <w:shd w:fill="F3F4F6"/>
            <w:vAlign w:val="center"/>
            <w:tcMar>
              <w:top w:w="80" w:type="dxa"/>
              <w:bottom w:w="80" w:type="dxa"/>
              <w:start w:w="120" w:type="dxa"/>
              <w:end w:w="120" w:type="dxa"/>
            </w:tcMar>
          </w:tcPr>
          <w:p>
            <w:pPr>
              <w:spacing w:before="0" w:after="40" w:line="264" w:lineRule="auto"/>
              <w:jc w:val="left"/>
            </w:pPr>
            <w:r/>
            <w:r>
              <w:rPr>
                <w:rFonts w:ascii="Calibri" w:hAnsi="Calibri"/>
                <w:b/>
                <w:i w:val="0"/>
                <w:color w:val="111827"/>
                <w:sz w:val="21"/>
              </w:rPr>
              <w:t>Key</w:t>
            </w:r>
          </w:p>
        </w:tc>
        <w:tc>
          <w:tcPr>
            <w:tcW w:type="dxa" w:w="2600"/>
            <w:shd w:fill="F3F4F6"/>
            <w:vAlign w:val="center"/>
            <w:tcMar>
              <w:top w:w="80" w:type="dxa"/>
              <w:bottom w:w="80" w:type="dxa"/>
              <w:start w:w="120" w:type="dxa"/>
              <w:end w:w="120" w:type="dxa"/>
            </w:tcMar>
          </w:tcPr>
          <w:p>
            <w:pPr>
              <w:spacing w:before="0" w:after="40" w:line="264" w:lineRule="auto"/>
              <w:jc w:val="left"/>
            </w:pPr>
            <w:r/>
            <w:r>
              <w:rPr>
                <w:rFonts w:ascii="Calibri" w:hAnsi="Calibri"/>
                <w:b/>
                <w:i w:val="0"/>
                <w:color w:val="111827"/>
                <w:sz w:val="21"/>
              </w:rPr>
              <w:t>Required</w:t>
            </w:r>
          </w:p>
        </w:tc>
        <w:tc>
          <w:tcPr>
            <w:tcW w:type="dxa" w:w="4560"/>
            <w:shd w:fill="F3F4F6"/>
            <w:vAlign w:val="center"/>
            <w:tcMar>
              <w:top w:w="80" w:type="dxa"/>
              <w:bottom w:w="80" w:type="dxa"/>
              <w:start w:w="120" w:type="dxa"/>
              <w:end w:w="120" w:type="dxa"/>
            </w:tcMar>
          </w:tcPr>
          <w:p>
            <w:pPr>
              <w:spacing w:before="0" w:after="40" w:line="264" w:lineRule="auto"/>
              <w:jc w:val="left"/>
            </w:pPr>
            <w:r/>
            <w:r>
              <w:rPr>
                <w:rFonts w:ascii="Calibri" w:hAnsi="Calibri"/>
                <w:b/>
                <w:i w:val="0"/>
                <w:color w:val="111827"/>
                <w:sz w:val="21"/>
              </w:rPr>
              <w:t>Purpose</w:t>
            </w:r>
          </w:p>
        </w:tc>
      </w:tr>
      <w:tr>
        <w:tc>
          <w:tcPr>
            <w:tcW w:type="dxa" w:w="2200"/>
            <w:vAlign w:val="center"/>
            <w:tcMar>
              <w:top w:w="80" w:type="dxa"/>
              <w:bottom w:w="80" w:type="dxa"/>
              <w:start w:w="120" w:type="dxa"/>
              <w:end w:w="120" w:type="dxa"/>
            </w:tcMar>
          </w:tcPr>
          <w:p>
            <w:pPr>
              <w:spacing w:before="0" w:after="40" w:line="264" w:lineRule="auto"/>
              <w:jc w:val="left"/>
            </w:pPr>
            <w:r/>
            <w:r>
              <w:rPr>
                <w:rFonts w:ascii="Calibri" w:hAnsi="Calibri"/>
                <w:b w:val="0"/>
                <w:i w:val="0"/>
                <w:color w:val="111827"/>
                <w:sz w:val="21"/>
              </w:rPr>
              <w:t>apiVersion</w:t>
            </w:r>
          </w:p>
        </w:tc>
        <w:tc>
          <w:tcPr>
            <w:tcW w:type="dxa" w:w="2600"/>
            <w:vAlign w:val="center"/>
            <w:tcMar>
              <w:top w:w="80" w:type="dxa"/>
              <w:bottom w:w="80" w:type="dxa"/>
              <w:start w:w="120" w:type="dxa"/>
              <w:end w:w="120" w:type="dxa"/>
            </w:tcMar>
          </w:tcPr>
          <w:p>
            <w:pPr>
              <w:spacing w:before="0" w:after="40" w:line="264" w:lineRule="auto"/>
              <w:jc w:val="left"/>
            </w:pPr>
            <w:r/>
            <w:r>
              <w:rPr>
                <w:rFonts w:ascii="Calibri" w:hAnsi="Calibri"/>
                <w:b w:val="0"/>
                <w:i w:val="0"/>
                <w:color w:val="111827"/>
                <w:sz w:val="21"/>
              </w:rPr>
              <w:t>Yes</w:t>
            </w:r>
          </w:p>
        </w:tc>
        <w:tc>
          <w:tcPr>
            <w:tcW w:type="dxa" w:w="4560"/>
            <w:vAlign w:val="center"/>
            <w:tcMar>
              <w:top w:w="80" w:type="dxa"/>
              <w:bottom w:w="80" w:type="dxa"/>
              <w:start w:w="120" w:type="dxa"/>
              <w:end w:w="120" w:type="dxa"/>
            </w:tcMar>
          </w:tcPr>
          <w:p>
            <w:pPr>
              <w:spacing w:before="0" w:after="40" w:line="264" w:lineRule="auto"/>
              <w:jc w:val="left"/>
            </w:pPr>
            <w:r/>
            <w:r>
              <w:rPr>
                <w:rFonts w:ascii="Calibri" w:hAnsi="Calibri"/>
                <w:b w:val="0"/>
                <w:i w:val="0"/>
                <w:color w:val="111827"/>
                <w:sz w:val="21"/>
              </w:rPr>
              <w:t>Declares the standard family and version.</w:t>
            </w:r>
          </w:p>
        </w:tc>
      </w:tr>
      <w:tr>
        <w:tc>
          <w:tcPr>
            <w:tcW w:type="dxa" w:w="2200"/>
            <w:vAlign w:val="center"/>
            <w:tcMar>
              <w:top w:w="80" w:type="dxa"/>
              <w:bottom w:w="80" w:type="dxa"/>
              <w:start w:w="120" w:type="dxa"/>
              <w:end w:w="120" w:type="dxa"/>
            </w:tcMar>
          </w:tcPr>
          <w:p>
            <w:pPr>
              <w:spacing w:before="0" w:after="40" w:line="264" w:lineRule="auto"/>
              <w:jc w:val="left"/>
            </w:pPr>
            <w:r/>
            <w:r>
              <w:rPr>
                <w:rFonts w:ascii="Calibri" w:hAnsi="Calibri"/>
                <w:b w:val="0"/>
                <w:i w:val="0"/>
                <w:color w:val="111827"/>
                <w:sz w:val="21"/>
              </w:rPr>
              <w:t>kind</w:t>
            </w:r>
          </w:p>
        </w:tc>
        <w:tc>
          <w:tcPr>
            <w:tcW w:type="dxa" w:w="2600"/>
            <w:vAlign w:val="center"/>
            <w:tcMar>
              <w:top w:w="80" w:type="dxa"/>
              <w:bottom w:w="80" w:type="dxa"/>
              <w:start w:w="120" w:type="dxa"/>
              <w:end w:w="120" w:type="dxa"/>
            </w:tcMar>
          </w:tcPr>
          <w:p>
            <w:pPr>
              <w:spacing w:before="0" w:after="40" w:line="264" w:lineRule="auto"/>
              <w:jc w:val="left"/>
            </w:pPr>
            <w:r/>
            <w:r>
              <w:rPr>
                <w:rFonts w:ascii="Calibri" w:hAnsi="Calibri"/>
                <w:b w:val="0"/>
                <w:i w:val="0"/>
                <w:color w:val="111827"/>
                <w:sz w:val="21"/>
              </w:rPr>
              <w:t>Yes</w:t>
            </w:r>
          </w:p>
        </w:tc>
        <w:tc>
          <w:tcPr>
            <w:tcW w:type="dxa" w:w="4560"/>
            <w:vAlign w:val="center"/>
            <w:tcMar>
              <w:top w:w="80" w:type="dxa"/>
              <w:bottom w:w="80" w:type="dxa"/>
              <w:start w:w="120" w:type="dxa"/>
              <w:end w:w="120" w:type="dxa"/>
            </w:tcMar>
          </w:tcPr>
          <w:p>
            <w:pPr>
              <w:spacing w:before="0" w:after="40" w:line="264" w:lineRule="auto"/>
              <w:jc w:val="left"/>
            </w:pPr>
            <w:r/>
            <w:r>
              <w:rPr>
                <w:rFonts w:ascii="Calibri" w:hAnsi="Calibri"/>
                <w:b w:val="0"/>
                <w:i w:val="0"/>
                <w:color w:val="111827"/>
                <w:sz w:val="21"/>
              </w:rPr>
              <w:t>Declares artifact type such as OperatingPath.</w:t>
            </w:r>
          </w:p>
        </w:tc>
      </w:tr>
      <w:tr>
        <w:tc>
          <w:tcPr>
            <w:tcW w:type="dxa" w:w="2200"/>
            <w:vAlign w:val="center"/>
            <w:tcMar>
              <w:top w:w="80" w:type="dxa"/>
              <w:bottom w:w="80" w:type="dxa"/>
              <w:start w:w="120" w:type="dxa"/>
              <w:end w:w="120" w:type="dxa"/>
            </w:tcMar>
          </w:tcPr>
          <w:p>
            <w:pPr>
              <w:spacing w:before="0" w:after="40" w:line="264" w:lineRule="auto"/>
              <w:jc w:val="left"/>
            </w:pPr>
            <w:r/>
            <w:r>
              <w:rPr>
                <w:rFonts w:ascii="Calibri" w:hAnsi="Calibri"/>
                <w:b w:val="0"/>
                <w:i w:val="0"/>
                <w:color w:val="111827"/>
                <w:sz w:val="21"/>
              </w:rPr>
              <w:t>metadata</w:t>
            </w:r>
          </w:p>
        </w:tc>
        <w:tc>
          <w:tcPr>
            <w:tcW w:type="dxa" w:w="2600"/>
            <w:vAlign w:val="center"/>
            <w:tcMar>
              <w:top w:w="80" w:type="dxa"/>
              <w:bottom w:w="80" w:type="dxa"/>
              <w:start w:w="120" w:type="dxa"/>
              <w:end w:w="120" w:type="dxa"/>
            </w:tcMar>
          </w:tcPr>
          <w:p>
            <w:pPr>
              <w:spacing w:before="0" w:after="40" w:line="264" w:lineRule="auto"/>
              <w:jc w:val="left"/>
            </w:pPr>
            <w:r/>
            <w:r>
              <w:rPr>
                <w:rFonts w:ascii="Calibri" w:hAnsi="Calibri"/>
                <w:b w:val="0"/>
                <w:i w:val="0"/>
                <w:color w:val="111827"/>
                <w:sz w:val="21"/>
              </w:rPr>
              <w:t>Yes</w:t>
            </w:r>
          </w:p>
        </w:tc>
        <w:tc>
          <w:tcPr>
            <w:tcW w:type="dxa" w:w="4560"/>
            <w:vAlign w:val="center"/>
            <w:tcMar>
              <w:top w:w="80" w:type="dxa"/>
              <w:bottom w:w="80" w:type="dxa"/>
              <w:start w:w="120" w:type="dxa"/>
              <w:end w:w="120" w:type="dxa"/>
            </w:tcMar>
          </w:tcPr>
          <w:p>
            <w:pPr>
              <w:spacing w:before="0" w:after="40" w:line="264" w:lineRule="auto"/>
              <w:jc w:val="left"/>
            </w:pPr>
            <w:r/>
            <w:r>
              <w:rPr>
                <w:rFonts w:ascii="Calibri" w:hAnsi="Calibri"/>
                <w:b w:val="0"/>
                <w:i w:val="0"/>
                <w:color w:val="111827"/>
                <w:sz w:val="21"/>
              </w:rPr>
              <w:t>Carries name, version, status, and provenance.</w:t>
            </w:r>
          </w:p>
        </w:tc>
      </w:tr>
      <w:tr>
        <w:tc>
          <w:tcPr>
            <w:tcW w:type="dxa" w:w="2200"/>
            <w:vAlign w:val="center"/>
            <w:tcMar>
              <w:top w:w="80" w:type="dxa"/>
              <w:bottom w:w="80" w:type="dxa"/>
              <w:start w:w="120" w:type="dxa"/>
              <w:end w:w="120" w:type="dxa"/>
            </w:tcMar>
          </w:tcPr>
          <w:p>
            <w:pPr>
              <w:spacing w:before="0" w:after="40" w:line="264" w:lineRule="auto"/>
              <w:jc w:val="left"/>
            </w:pPr>
            <w:r/>
            <w:r>
              <w:rPr>
                <w:rFonts w:ascii="Calibri" w:hAnsi="Calibri"/>
                <w:b w:val="0"/>
                <w:i w:val="0"/>
                <w:color w:val="111827"/>
                <w:sz w:val="21"/>
              </w:rPr>
              <w:t>objective</w:t>
            </w:r>
          </w:p>
        </w:tc>
        <w:tc>
          <w:tcPr>
            <w:tcW w:type="dxa" w:w="2600"/>
            <w:vAlign w:val="center"/>
            <w:tcMar>
              <w:top w:w="80" w:type="dxa"/>
              <w:bottom w:w="80" w:type="dxa"/>
              <w:start w:w="120" w:type="dxa"/>
              <w:end w:w="120" w:type="dxa"/>
            </w:tcMar>
          </w:tcPr>
          <w:p>
            <w:pPr>
              <w:spacing w:before="0" w:after="40" w:line="264" w:lineRule="auto"/>
              <w:jc w:val="left"/>
            </w:pPr>
            <w:r/>
            <w:r>
              <w:rPr>
                <w:rFonts w:ascii="Calibri" w:hAnsi="Calibri"/>
                <w:b w:val="0"/>
                <w:i w:val="0"/>
                <w:color w:val="111827"/>
                <w:sz w:val="21"/>
              </w:rPr>
              <w:t>Yes</w:t>
            </w:r>
          </w:p>
        </w:tc>
        <w:tc>
          <w:tcPr>
            <w:tcW w:type="dxa" w:w="4560"/>
            <w:vAlign w:val="center"/>
            <w:tcMar>
              <w:top w:w="80" w:type="dxa"/>
              <w:bottom w:w="80" w:type="dxa"/>
              <w:start w:w="120" w:type="dxa"/>
              <w:end w:w="120" w:type="dxa"/>
            </w:tcMar>
          </w:tcPr>
          <w:p>
            <w:pPr>
              <w:spacing w:before="0" w:after="40" w:line="264" w:lineRule="auto"/>
              <w:jc w:val="left"/>
            </w:pPr>
            <w:r/>
            <w:r>
              <w:rPr>
                <w:rFonts w:ascii="Calibri" w:hAnsi="Calibri"/>
                <w:b w:val="0"/>
                <w:i w:val="0"/>
                <w:color w:val="111827"/>
                <w:sz w:val="21"/>
              </w:rPr>
              <w:t>Explains the operational outcome the path exists to achieve.</w:t>
            </w:r>
          </w:p>
        </w:tc>
      </w:tr>
      <w:tr>
        <w:tc>
          <w:tcPr>
            <w:tcW w:type="dxa" w:w="2200"/>
            <w:vAlign w:val="center"/>
            <w:tcMar>
              <w:top w:w="80" w:type="dxa"/>
              <w:bottom w:w="80" w:type="dxa"/>
              <w:start w:w="120" w:type="dxa"/>
              <w:end w:w="120" w:type="dxa"/>
            </w:tcMar>
          </w:tcPr>
          <w:p>
            <w:pPr>
              <w:spacing w:before="0" w:after="40" w:line="264" w:lineRule="auto"/>
              <w:jc w:val="left"/>
            </w:pPr>
            <w:r/>
            <w:r>
              <w:rPr>
                <w:rFonts w:ascii="Calibri" w:hAnsi="Calibri"/>
                <w:b w:val="0"/>
                <w:i w:val="0"/>
                <w:color w:val="111827"/>
                <w:sz w:val="21"/>
              </w:rPr>
              <w:t>triggerSignals</w:t>
            </w:r>
          </w:p>
        </w:tc>
        <w:tc>
          <w:tcPr>
            <w:tcW w:type="dxa" w:w="2600"/>
            <w:vAlign w:val="center"/>
            <w:tcMar>
              <w:top w:w="80" w:type="dxa"/>
              <w:bottom w:w="80" w:type="dxa"/>
              <w:start w:w="120" w:type="dxa"/>
              <w:end w:w="120" w:type="dxa"/>
            </w:tcMar>
          </w:tcPr>
          <w:p>
            <w:pPr>
              <w:spacing w:before="0" w:after="40" w:line="264" w:lineRule="auto"/>
              <w:jc w:val="left"/>
            </w:pPr>
            <w:r/>
            <w:r>
              <w:rPr>
                <w:rFonts w:ascii="Calibri" w:hAnsi="Calibri"/>
                <w:b w:val="0"/>
                <w:i w:val="0"/>
                <w:color w:val="111827"/>
                <w:sz w:val="21"/>
              </w:rPr>
              <w:t>Yes</w:t>
            </w:r>
          </w:p>
        </w:tc>
        <w:tc>
          <w:tcPr>
            <w:tcW w:type="dxa" w:w="4560"/>
            <w:vAlign w:val="center"/>
            <w:tcMar>
              <w:top w:w="80" w:type="dxa"/>
              <w:bottom w:w="80" w:type="dxa"/>
              <w:start w:w="120" w:type="dxa"/>
              <w:end w:w="120" w:type="dxa"/>
            </w:tcMar>
          </w:tcPr>
          <w:p>
            <w:pPr>
              <w:spacing w:before="0" w:after="40" w:line="264" w:lineRule="auto"/>
              <w:jc w:val="left"/>
            </w:pPr>
            <w:r/>
            <w:r>
              <w:rPr>
                <w:rFonts w:ascii="Calibri" w:hAnsi="Calibri"/>
                <w:b w:val="0"/>
                <w:i w:val="0"/>
                <w:color w:val="111827"/>
                <w:sz w:val="21"/>
              </w:rPr>
              <w:t>Defines what can qualify or open the path.</w:t>
            </w:r>
          </w:p>
        </w:tc>
      </w:tr>
      <w:tr>
        <w:tc>
          <w:tcPr>
            <w:tcW w:type="dxa" w:w="2200"/>
            <w:vAlign w:val="center"/>
            <w:tcMar>
              <w:top w:w="80" w:type="dxa"/>
              <w:bottom w:w="80" w:type="dxa"/>
              <w:start w:w="120" w:type="dxa"/>
              <w:end w:w="120" w:type="dxa"/>
            </w:tcMar>
          </w:tcPr>
          <w:p>
            <w:pPr>
              <w:spacing w:before="0" w:after="40" w:line="264" w:lineRule="auto"/>
              <w:jc w:val="left"/>
            </w:pPr>
            <w:r/>
            <w:r>
              <w:rPr>
                <w:rFonts w:ascii="Calibri" w:hAnsi="Calibri"/>
                <w:b w:val="0"/>
                <w:i w:val="0"/>
                <w:color w:val="111827"/>
                <w:sz w:val="21"/>
              </w:rPr>
              <w:t>requiredContext</w:t>
            </w:r>
          </w:p>
        </w:tc>
        <w:tc>
          <w:tcPr>
            <w:tcW w:type="dxa" w:w="2600"/>
            <w:vAlign w:val="center"/>
            <w:tcMar>
              <w:top w:w="80" w:type="dxa"/>
              <w:bottom w:w="80" w:type="dxa"/>
              <w:start w:w="120" w:type="dxa"/>
              <w:end w:w="120" w:type="dxa"/>
            </w:tcMar>
          </w:tcPr>
          <w:p>
            <w:pPr>
              <w:spacing w:before="0" w:after="40" w:line="264" w:lineRule="auto"/>
              <w:jc w:val="left"/>
            </w:pPr>
            <w:r/>
            <w:r>
              <w:rPr>
                <w:rFonts w:ascii="Calibri" w:hAnsi="Calibri"/>
                <w:b w:val="0"/>
                <w:i w:val="0"/>
                <w:color w:val="111827"/>
                <w:sz w:val="21"/>
              </w:rPr>
              <w:t>Yes</w:t>
            </w:r>
          </w:p>
        </w:tc>
        <w:tc>
          <w:tcPr>
            <w:tcW w:type="dxa" w:w="4560"/>
            <w:vAlign w:val="center"/>
            <w:tcMar>
              <w:top w:w="80" w:type="dxa"/>
              <w:bottom w:w="80" w:type="dxa"/>
              <w:start w:w="120" w:type="dxa"/>
              <w:end w:w="120" w:type="dxa"/>
            </w:tcMar>
          </w:tcPr>
          <w:p>
            <w:pPr>
              <w:spacing w:before="0" w:after="40" w:line="264" w:lineRule="auto"/>
              <w:jc w:val="left"/>
            </w:pPr>
            <w:r/>
            <w:r>
              <w:rPr>
                <w:rFonts w:ascii="Calibri" w:hAnsi="Calibri"/>
                <w:b w:val="0"/>
                <w:i w:val="0"/>
                <w:color w:val="111827"/>
                <w:sz w:val="21"/>
              </w:rPr>
              <w:t>Declares fields the runtime must assemble before execution.</w:t>
            </w:r>
          </w:p>
        </w:tc>
      </w:tr>
      <w:tr>
        <w:tc>
          <w:tcPr>
            <w:tcW w:type="dxa" w:w="2200"/>
            <w:vAlign w:val="center"/>
            <w:tcMar>
              <w:top w:w="80" w:type="dxa"/>
              <w:bottom w:w="80" w:type="dxa"/>
              <w:start w:w="120" w:type="dxa"/>
              <w:end w:w="120" w:type="dxa"/>
            </w:tcMar>
          </w:tcPr>
          <w:p>
            <w:pPr>
              <w:spacing w:before="0" w:after="40" w:line="264" w:lineRule="auto"/>
              <w:jc w:val="left"/>
            </w:pPr>
            <w:r/>
            <w:r>
              <w:rPr>
                <w:rFonts w:ascii="Calibri" w:hAnsi="Calibri"/>
                <w:b w:val="0"/>
                <w:i w:val="0"/>
                <w:color w:val="111827"/>
                <w:sz w:val="21"/>
              </w:rPr>
              <w:t>decisions</w:t>
            </w:r>
          </w:p>
        </w:tc>
        <w:tc>
          <w:tcPr>
            <w:tcW w:type="dxa" w:w="2600"/>
            <w:vAlign w:val="center"/>
            <w:tcMar>
              <w:top w:w="80" w:type="dxa"/>
              <w:bottom w:w="80" w:type="dxa"/>
              <w:start w:w="120" w:type="dxa"/>
              <w:end w:w="120" w:type="dxa"/>
            </w:tcMar>
          </w:tcPr>
          <w:p>
            <w:pPr>
              <w:spacing w:before="0" w:after="40" w:line="264" w:lineRule="auto"/>
              <w:jc w:val="left"/>
            </w:pPr>
            <w:r/>
            <w:r>
              <w:rPr>
                <w:rFonts w:ascii="Calibri" w:hAnsi="Calibri"/>
                <w:b w:val="0"/>
                <w:i w:val="0"/>
                <w:color w:val="111827"/>
                <w:sz w:val="21"/>
              </w:rPr>
              <w:t>Yes</w:t>
            </w:r>
          </w:p>
        </w:tc>
        <w:tc>
          <w:tcPr>
            <w:tcW w:type="dxa" w:w="4560"/>
            <w:vAlign w:val="center"/>
            <w:tcMar>
              <w:top w:w="80" w:type="dxa"/>
              <w:bottom w:w="80" w:type="dxa"/>
              <w:start w:w="120" w:type="dxa"/>
              <w:end w:w="120" w:type="dxa"/>
            </w:tcMar>
          </w:tcPr>
          <w:p>
            <w:pPr>
              <w:spacing w:before="0" w:after="40" w:line="264" w:lineRule="auto"/>
              <w:jc w:val="left"/>
            </w:pPr>
            <w:r/>
            <w:r>
              <w:rPr>
                <w:rFonts w:ascii="Calibri" w:hAnsi="Calibri"/>
                <w:b w:val="0"/>
                <w:i w:val="0"/>
                <w:color w:val="111827"/>
                <w:sz w:val="21"/>
              </w:rPr>
              <w:t>Defines explicit decisions the runtime must evaluate or surface.</w:t>
            </w:r>
          </w:p>
        </w:tc>
      </w:tr>
      <w:tr>
        <w:tc>
          <w:tcPr>
            <w:tcW w:type="dxa" w:w="2200"/>
            <w:vAlign w:val="center"/>
            <w:tcMar>
              <w:top w:w="80" w:type="dxa"/>
              <w:bottom w:w="80" w:type="dxa"/>
              <w:start w:w="120" w:type="dxa"/>
              <w:end w:w="120" w:type="dxa"/>
            </w:tcMar>
          </w:tcPr>
          <w:p>
            <w:pPr>
              <w:spacing w:before="0" w:after="40" w:line="264" w:lineRule="auto"/>
              <w:jc w:val="left"/>
            </w:pPr>
            <w:r/>
            <w:r>
              <w:rPr>
                <w:rFonts w:ascii="Calibri" w:hAnsi="Calibri"/>
                <w:b w:val="0"/>
                <w:i w:val="0"/>
                <w:color w:val="111827"/>
                <w:sz w:val="21"/>
              </w:rPr>
              <w:t>governance</w:t>
            </w:r>
          </w:p>
        </w:tc>
        <w:tc>
          <w:tcPr>
            <w:tcW w:type="dxa" w:w="2600"/>
            <w:vAlign w:val="center"/>
            <w:tcMar>
              <w:top w:w="80" w:type="dxa"/>
              <w:bottom w:w="80" w:type="dxa"/>
              <w:start w:w="120" w:type="dxa"/>
              <w:end w:w="120" w:type="dxa"/>
            </w:tcMar>
          </w:tcPr>
          <w:p>
            <w:pPr>
              <w:spacing w:before="0" w:after="40" w:line="264" w:lineRule="auto"/>
              <w:jc w:val="left"/>
            </w:pPr>
            <w:r/>
            <w:r>
              <w:rPr>
                <w:rFonts w:ascii="Calibri" w:hAnsi="Calibri"/>
                <w:b w:val="0"/>
                <w:i w:val="0"/>
                <w:color w:val="111827"/>
                <w:sz w:val="21"/>
              </w:rPr>
              <w:t>Yes</w:t>
            </w:r>
          </w:p>
        </w:tc>
        <w:tc>
          <w:tcPr>
            <w:tcW w:type="dxa" w:w="4560"/>
            <w:vAlign w:val="center"/>
            <w:tcMar>
              <w:top w:w="80" w:type="dxa"/>
              <w:bottom w:w="80" w:type="dxa"/>
              <w:start w:w="120" w:type="dxa"/>
              <w:end w:w="120" w:type="dxa"/>
            </w:tcMar>
          </w:tcPr>
          <w:p>
            <w:pPr>
              <w:spacing w:before="0" w:after="40" w:line="264" w:lineRule="auto"/>
              <w:jc w:val="left"/>
            </w:pPr>
            <w:r/>
            <w:r>
              <w:rPr>
                <w:rFonts w:ascii="Calibri" w:hAnsi="Calibri"/>
                <w:b w:val="0"/>
                <w:i w:val="0"/>
                <w:color w:val="111827"/>
                <w:sz w:val="21"/>
              </w:rPr>
              <w:t>Defines policy, approval, deny, and fallback posture.</w:t>
            </w:r>
          </w:p>
        </w:tc>
      </w:tr>
      <w:tr>
        <w:tc>
          <w:tcPr>
            <w:tcW w:type="dxa" w:w="2200"/>
            <w:vAlign w:val="center"/>
            <w:tcMar>
              <w:top w:w="80" w:type="dxa"/>
              <w:bottom w:w="80" w:type="dxa"/>
              <w:start w:w="120" w:type="dxa"/>
              <w:end w:w="120" w:type="dxa"/>
            </w:tcMar>
          </w:tcPr>
          <w:p>
            <w:pPr>
              <w:spacing w:before="0" w:after="40" w:line="264" w:lineRule="auto"/>
              <w:jc w:val="left"/>
            </w:pPr>
            <w:r/>
            <w:r>
              <w:rPr>
                <w:rFonts w:ascii="Calibri" w:hAnsi="Calibri"/>
                <w:b w:val="0"/>
                <w:i w:val="0"/>
                <w:color w:val="111827"/>
                <w:sz w:val="21"/>
              </w:rPr>
              <w:t>allowedActions</w:t>
            </w:r>
          </w:p>
        </w:tc>
        <w:tc>
          <w:tcPr>
            <w:tcW w:type="dxa" w:w="2600"/>
            <w:vAlign w:val="center"/>
            <w:tcMar>
              <w:top w:w="80" w:type="dxa"/>
              <w:bottom w:w="80" w:type="dxa"/>
              <w:start w:w="120" w:type="dxa"/>
              <w:end w:w="120" w:type="dxa"/>
            </w:tcMar>
          </w:tcPr>
          <w:p>
            <w:pPr>
              <w:spacing w:before="0" w:after="40" w:line="264" w:lineRule="auto"/>
              <w:jc w:val="left"/>
            </w:pPr>
            <w:r/>
            <w:r>
              <w:rPr>
                <w:rFonts w:ascii="Calibri" w:hAnsi="Calibri"/>
                <w:b w:val="0"/>
                <w:i w:val="0"/>
                <w:color w:val="111827"/>
                <w:sz w:val="21"/>
              </w:rPr>
              <w:t>Yes</w:t>
            </w:r>
          </w:p>
        </w:tc>
        <w:tc>
          <w:tcPr>
            <w:tcW w:type="dxa" w:w="4560"/>
            <w:vAlign w:val="center"/>
            <w:tcMar>
              <w:top w:w="80" w:type="dxa"/>
              <w:bottom w:w="80" w:type="dxa"/>
              <w:start w:w="120" w:type="dxa"/>
              <w:end w:w="120" w:type="dxa"/>
            </w:tcMar>
          </w:tcPr>
          <w:p>
            <w:pPr>
              <w:spacing w:before="0" w:after="40" w:line="264" w:lineRule="auto"/>
              <w:jc w:val="left"/>
            </w:pPr>
            <w:r/>
            <w:r>
              <w:rPr>
                <w:rFonts w:ascii="Calibri" w:hAnsi="Calibri"/>
                <w:b w:val="0"/>
                <w:i w:val="0"/>
                <w:color w:val="111827"/>
                <w:sz w:val="21"/>
              </w:rPr>
              <w:t>Defines bounded actions or action categories.</w:t>
            </w:r>
          </w:p>
        </w:tc>
      </w:tr>
      <w:tr>
        <w:tc>
          <w:tcPr>
            <w:tcW w:type="dxa" w:w="2200"/>
            <w:vAlign w:val="center"/>
            <w:tcMar>
              <w:top w:w="80" w:type="dxa"/>
              <w:bottom w:w="80" w:type="dxa"/>
              <w:start w:w="120" w:type="dxa"/>
              <w:end w:w="120" w:type="dxa"/>
            </w:tcMar>
          </w:tcPr>
          <w:p>
            <w:pPr>
              <w:spacing w:before="0" w:after="40" w:line="264" w:lineRule="auto"/>
              <w:jc w:val="left"/>
            </w:pPr>
            <w:r/>
            <w:r>
              <w:rPr>
                <w:rFonts w:ascii="Calibri" w:hAnsi="Calibri"/>
                <w:b w:val="0"/>
                <w:i w:val="0"/>
                <w:color w:val="111827"/>
                <w:sz w:val="21"/>
              </w:rPr>
              <w:t>evidence</w:t>
            </w:r>
          </w:p>
        </w:tc>
        <w:tc>
          <w:tcPr>
            <w:tcW w:type="dxa" w:w="2600"/>
            <w:vAlign w:val="center"/>
            <w:tcMar>
              <w:top w:w="80" w:type="dxa"/>
              <w:bottom w:w="80" w:type="dxa"/>
              <w:start w:w="120" w:type="dxa"/>
              <w:end w:w="120" w:type="dxa"/>
            </w:tcMar>
          </w:tcPr>
          <w:p>
            <w:pPr>
              <w:spacing w:before="0" w:after="40" w:line="264" w:lineRule="auto"/>
              <w:jc w:val="left"/>
            </w:pPr>
            <w:r/>
            <w:r>
              <w:rPr>
                <w:rFonts w:ascii="Calibri" w:hAnsi="Calibri"/>
                <w:b w:val="0"/>
                <w:i w:val="0"/>
                <w:color w:val="111827"/>
                <w:sz w:val="21"/>
              </w:rPr>
              <w:t>Yes</w:t>
            </w:r>
          </w:p>
        </w:tc>
        <w:tc>
          <w:tcPr>
            <w:tcW w:type="dxa" w:w="4560"/>
            <w:vAlign w:val="center"/>
            <w:tcMar>
              <w:top w:w="80" w:type="dxa"/>
              <w:bottom w:w="80" w:type="dxa"/>
              <w:start w:w="120" w:type="dxa"/>
              <w:end w:w="120" w:type="dxa"/>
            </w:tcMar>
          </w:tcPr>
          <w:p>
            <w:pPr>
              <w:spacing w:before="0" w:after="40" w:line="264" w:lineRule="auto"/>
              <w:jc w:val="left"/>
            </w:pPr>
            <w:r/>
            <w:r>
              <w:rPr>
                <w:rFonts w:ascii="Calibri" w:hAnsi="Calibri"/>
                <w:b w:val="0"/>
                <w:i w:val="0"/>
                <w:color w:val="111827"/>
                <w:sz w:val="21"/>
              </w:rPr>
              <w:t>Defines audit and closure proof requirements.</w:t>
            </w:r>
          </w:p>
        </w:tc>
      </w:tr>
      <w:tr>
        <w:tc>
          <w:tcPr>
            <w:tcW w:type="dxa" w:w="2200"/>
            <w:vAlign w:val="center"/>
            <w:tcMar>
              <w:top w:w="80" w:type="dxa"/>
              <w:bottom w:w="80" w:type="dxa"/>
              <w:start w:w="120" w:type="dxa"/>
              <w:end w:w="120" w:type="dxa"/>
            </w:tcMar>
          </w:tcPr>
          <w:p>
            <w:pPr>
              <w:spacing w:before="0" w:after="40" w:line="264" w:lineRule="auto"/>
              <w:jc w:val="left"/>
            </w:pPr>
            <w:r/>
            <w:r>
              <w:rPr>
                <w:rFonts w:ascii="Calibri" w:hAnsi="Calibri"/>
                <w:b w:val="0"/>
                <w:i w:val="0"/>
                <w:color w:val="111827"/>
                <w:sz w:val="21"/>
              </w:rPr>
              <w:t>outcome</w:t>
            </w:r>
          </w:p>
        </w:tc>
        <w:tc>
          <w:tcPr>
            <w:tcW w:type="dxa" w:w="2600"/>
            <w:vAlign w:val="center"/>
            <w:tcMar>
              <w:top w:w="80" w:type="dxa"/>
              <w:bottom w:w="80" w:type="dxa"/>
              <w:start w:w="120" w:type="dxa"/>
              <w:end w:w="120" w:type="dxa"/>
            </w:tcMar>
          </w:tcPr>
          <w:p>
            <w:pPr>
              <w:spacing w:before="0" w:after="40" w:line="264" w:lineRule="auto"/>
              <w:jc w:val="left"/>
            </w:pPr>
            <w:r/>
            <w:r>
              <w:rPr>
                <w:rFonts w:ascii="Calibri" w:hAnsi="Calibri"/>
                <w:b w:val="0"/>
                <w:i w:val="0"/>
                <w:color w:val="111827"/>
                <w:sz w:val="21"/>
              </w:rPr>
              <w:t>Yes</w:t>
            </w:r>
          </w:p>
        </w:tc>
        <w:tc>
          <w:tcPr>
            <w:tcW w:type="dxa" w:w="4560"/>
            <w:vAlign w:val="center"/>
            <w:tcMar>
              <w:top w:w="80" w:type="dxa"/>
              <w:bottom w:w="80" w:type="dxa"/>
              <w:start w:w="120" w:type="dxa"/>
              <w:end w:w="120" w:type="dxa"/>
            </w:tcMar>
          </w:tcPr>
          <w:p>
            <w:pPr>
              <w:spacing w:before="0" w:after="40" w:line="264" w:lineRule="auto"/>
              <w:jc w:val="left"/>
            </w:pPr>
            <w:r/>
            <w:r>
              <w:rPr>
                <w:rFonts w:ascii="Calibri" w:hAnsi="Calibri"/>
                <w:b w:val="0"/>
                <w:i w:val="0"/>
                <w:color w:val="111827"/>
                <w:sz w:val="21"/>
              </w:rPr>
              <w:t>Defines success conditions and closure criteria.</w:t>
            </w:r>
          </w:p>
        </w:tc>
      </w:tr>
    </w:tbl>
    <w:p>
      <w:pPr>
        <w:pStyle w:val="Heading1"/>
      </w:pPr>
      <w:r>
        <w:t>10. Authoring Workflow</w:t>
      </w:r>
    </w:p>
    <w:p>
      <w:pPr>
        <w:spacing w:before="0" w:after="120" w:line="276" w:lineRule="auto"/>
      </w:pPr>
      <w:r>
        <w:rPr>
          <w:rFonts w:ascii="Calibri" w:hAnsi="Calibri"/>
          <w:b w:val="0"/>
          <w:i w:val="0"/>
          <w:color w:val="111827"/>
          <w:sz w:val="22"/>
        </w:rPr>
        <w:t>An implementer SHOULD be able to follow this authoring flow:</w:t>
      </w:r>
    </w:p>
    <w:p>
      <w:pPr>
        <w:pStyle w:val="ListNumber"/>
        <w:spacing w:before="0" w:after="80" w:line="269" w:lineRule="auto"/>
      </w:pPr>
      <w:r>
        <w:rPr>
          <w:rFonts w:ascii="Calibri" w:hAnsi="Calibri"/>
          <w:b w:val="0"/>
          <w:i w:val="0"/>
          <w:color w:val="111827"/>
          <w:sz w:val="22"/>
        </w:rPr>
        <w:t>Start with a recurring business or operational process, not a tool integration.</w:t>
      </w:r>
    </w:p>
    <w:p>
      <w:pPr>
        <w:pStyle w:val="ListNumber"/>
        <w:spacing w:before="0" w:after="80" w:line="269" w:lineRule="auto"/>
      </w:pPr>
      <w:r>
        <w:rPr>
          <w:rFonts w:ascii="Calibri" w:hAnsi="Calibri"/>
          <w:b w:val="0"/>
          <w:i w:val="0"/>
          <w:color w:val="111827"/>
          <w:sz w:val="22"/>
        </w:rPr>
        <w:t>Define the objective, desired outcome, and measurable success condition.</w:t>
      </w:r>
    </w:p>
    <w:p>
      <w:pPr>
        <w:pStyle w:val="ListNumber"/>
        <w:spacing w:before="0" w:after="80" w:line="269" w:lineRule="auto"/>
      </w:pPr>
      <w:r>
        <w:rPr>
          <w:rFonts w:ascii="Calibri" w:hAnsi="Calibri"/>
          <w:b w:val="0"/>
          <w:i w:val="0"/>
          <w:color w:val="111827"/>
          <w:sz w:val="22"/>
        </w:rPr>
        <w:t>List the qualifying signals that open the path and the validating signals that close it.</w:t>
      </w:r>
    </w:p>
    <w:p>
      <w:pPr>
        <w:pStyle w:val="ListNumber"/>
        <w:spacing w:before="0" w:after="80" w:line="269" w:lineRule="auto"/>
      </w:pPr>
      <w:r>
        <w:rPr>
          <w:rFonts w:ascii="Calibri" w:hAnsi="Calibri"/>
          <w:b w:val="0"/>
          <w:i w:val="0"/>
          <w:color w:val="111827"/>
          <w:sz w:val="22"/>
        </w:rPr>
        <w:t>Define the minimum context and entity relationships needed for a correct decision.</w:t>
      </w:r>
    </w:p>
    <w:p>
      <w:pPr>
        <w:pStyle w:val="ListNumber"/>
        <w:spacing w:before="0" w:after="80" w:line="269" w:lineRule="auto"/>
      </w:pPr>
      <w:r>
        <w:rPr>
          <w:rFonts w:ascii="Calibri" w:hAnsi="Calibri"/>
          <w:b w:val="0"/>
          <w:i w:val="0"/>
          <w:color w:val="111827"/>
          <w:sz w:val="22"/>
        </w:rPr>
        <w:t>Model the explicit decisions the system must make.</w:t>
      </w:r>
    </w:p>
    <w:p>
      <w:pPr>
        <w:pStyle w:val="ListNumber"/>
        <w:spacing w:before="0" w:after="80" w:line="269" w:lineRule="auto"/>
      </w:pPr>
      <w:r>
        <w:rPr>
          <w:rFonts w:ascii="Calibri" w:hAnsi="Calibri"/>
          <w:b w:val="0"/>
          <w:i w:val="0"/>
          <w:color w:val="111827"/>
          <w:sz w:val="22"/>
        </w:rPr>
        <w:t>Define governance posture before execution behavior.</w:t>
      </w:r>
    </w:p>
    <w:p>
      <w:pPr>
        <w:pStyle w:val="ListNumber"/>
        <w:spacing w:before="0" w:after="80" w:line="269" w:lineRule="auto"/>
      </w:pPr>
      <w:r>
        <w:rPr>
          <w:rFonts w:ascii="Calibri" w:hAnsi="Calibri"/>
          <w:b w:val="0"/>
          <w:i w:val="0"/>
          <w:color w:val="111827"/>
          <w:sz w:val="22"/>
        </w:rPr>
        <w:t>Constrain allowed actions and identify which require approval or fallback.</w:t>
      </w:r>
    </w:p>
    <w:p>
      <w:pPr>
        <w:pStyle w:val="ListNumber"/>
        <w:spacing w:before="0" w:after="80" w:line="269" w:lineRule="auto"/>
      </w:pPr>
      <w:r>
        <w:rPr>
          <w:rFonts w:ascii="Calibri" w:hAnsi="Calibri"/>
          <w:b w:val="0"/>
          <w:i w:val="0"/>
          <w:color w:val="111827"/>
          <w:sz w:val="22"/>
        </w:rPr>
        <w:t>Define evidence and outcome validation requirements.</w:t>
      </w:r>
    </w:p>
    <w:p>
      <w:pPr>
        <w:pStyle w:val="ListNumber"/>
        <w:spacing w:before="0" w:after="80" w:line="269" w:lineRule="auto"/>
      </w:pPr>
      <w:r>
        <w:rPr>
          <w:rFonts w:ascii="Calibri" w:hAnsi="Calibri"/>
          <w:b w:val="0"/>
          <w:i w:val="0"/>
          <w:color w:val="111827"/>
          <w:sz w:val="22"/>
        </w:rPr>
        <w:t>Validate the package against structural and semantic rules before publishing or importing it.</w:t>
      </w:r>
    </w:p>
    <w:p>
      <w:pPr>
        <w:pStyle w:val="Heading1"/>
      </w:pPr>
      <w:r>
        <w:t>11. Validator Responsibilities</w:t>
      </w:r>
    </w:p>
    <w:p>
      <w:pPr>
        <w:spacing w:before="0" w:after="120" w:line="276" w:lineRule="auto"/>
      </w:pPr>
      <w:r>
        <w:rPr>
          <w:rFonts w:ascii="Calibri" w:hAnsi="Calibri"/>
          <w:b w:val="0"/>
          <w:i w:val="0"/>
          <w:color w:val="111827"/>
          <w:sz w:val="22"/>
        </w:rPr>
        <w:t>A useful validator MUST check more than raw schema shape.</w:t>
      </w:r>
    </w:p>
    <w:tbl>
      <w:tblPr>
        <w:tblStyle w:val="TableGrid"/>
        <w:tblW w:type="dxa" w:w="9360"/>
        <w:jc w:val="left"/>
        <w:tblLook w:firstColumn="1" w:firstRow="1" w:lastColumn="0" w:lastRow="0" w:noHBand="0" w:noVBand="1" w:val="04A0"/>
        <w:tblInd w:type="dxa" w:w="120"/>
      </w:tblPr>
      <w:tblGrid>
        <w:gridCol w:w="2200"/>
        <w:gridCol w:w="2600"/>
        <w:gridCol w:w="4560"/>
      </w:tblGrid>
      <w:tr>
        <w:tc>
          <w:tcPr>
            <w:tcW w:type="dxa" w:w="2200"/>
            <w:shd w:fill="F3F4F6"/>
            <w:vAlign w:val="center"/>
            <w:tcMar>
              <w:top w:w="80" w:type="dxa"/>
              <w:bottom w:w="80" w:type="dxa"/>
              <w:start w:w="120" w:type="dxa"/>
              <w:end w:w="120" w:type="dxa"/>
            </w:tcMar>
          </w:tcPr>
          <w:p>
            <w:pPr>
              <w:spacing w:before="0" w:after="40" w:line="264" w:lineRule="auto"/>
              <w:jc w:val="left"/>
            </w:pPr>
            <w:r/>
            <w:r>
              <w:rPr>
                <w:rFonts w:ascii="Calibri" w:hAnsi="Calibri"/>
                <w:b/>
                <w:i w:val="0"/>
                <w:color w:val="111827"/>
                <w:sz w:val="21"/>
              </w:rPr>
              <w:t>Validation category</w:t>
            </w:r>
          </w:p>
        </w:tc>
        <w:tc>
          <w:tcPr>
            <w:tcW w:type="dxa" w:w="2600"/>
            <w:shd w:fill="F3F4F6"/>
            <w:vAlign w:val="center"/>
            <w:tcMar>
              <w:top w:w="80" w:type="dxa"/>
              <w:bottom w:w="80" w:type="dxa"/>
              <w:start w:w="120" w:type="dxa"/>
              <w:end w:w="120" w:type="dxa"/>
            </w:tcMar>
          </w:tcPr>
          <w:p>
            <w:pPr>
              <w:spacing w:before="0" w:after="40" w:line="264" w:lineRule="auto"/>
              <w:jc w:val="left"/>
            </w:pPr>
            <w:r/>
            <w:r>
              <w:rPr>
                <w:rFonts w:ascii="Calibri" w:hAnsi="Calibri"/>
                <w:b/>
                <w:i w:val="0"/>
                <w:color w:val="111827"/>
                <w:sz w:val="21"/>
              </w:rPr>
              <w:t>Strength</w:t>
            </w:r>
          </w:p>
        </w:tc>
        <w:tc>
          <w:tcPr>
            <w:tcW w:type="dxa" w:w="4560"/>
            <w:shd w:fill="F3F4F6"/>
            <w:vAlign w:val="center"/>
            <w:tcMar>
              <w:top w:w="80" w:type="dxa"/>
              <w:bottom w:w="80" w:type="dxa"/>
              <w:start w:w="120" w:type="dxa"/>
              <w:end w:w="120" w:type="dxa"/>
            </w:tcMar>
          </w:tcPr>
          <w:p>
            <w:pPr>
              <w:spacing w:before="0" w:after="40" w:line="264" w:lineRule="auto"/>
              <w:jc w:val="left"/>
            </w:pPr>
            <w:r/>
            <w:r>
              <w:rPr>
                <w:rFonts w:ascii="Calibri" w:hAnsi="Calibri"/>
                <w:b/>
                <w:i w:val="0"/>
                <w:color w:val="111827"/>
                <w:sz w:val="21"/>
              </w:rPr>
              <w:t>Expectation</w:t>
            </w:r>
          </w:p>
        </w:tc>
      </w:tr>
      <w:tr>
        <w:tc>
          <w:tcPr>
            <w:tcW w:type="dxa" w:w="2200"/>
            <w:vAlign w:val="center"/>
            <w:tcMar>
              <w:top w:w="80" w:type="dxa"/>
              <w:bottom w:w="80" w:type="dxa"/>
              <w:start w:w="120" w:type="dxa"/>
              <w:end w:w="120" w:type="dxa"/>
            </w:tcMar>
          </w:tcPr>
          <w:p>
            <w:pPr>
              <w:spacing w:before="0" w:after="40" w:line="264" w:lineRule="auto"/>
              <w:jc w:val="left"/>
            </w:pPr>
            <w:r/>
            <w:r>
              <w:rPr>
                <w:rFonts w:ascii="Calibri" w:hAnsi="Calibri"/>
                <w:b w:val="0"/>
                <w:i w:val="0"/>
                <w:color w:val="111827"/>
                <w:sz w:val="21"/>
              </w:rPr>
              <w:t>Document shape</w:t>
            </w:r>
          </w:p>
        </w:tc>
        <w:tc>
          <w:tcPr>
            <w:tcW w:type="dxa" w:w="2600"/>
            <w:vAlign w:val="center"/>
            <w:tcMar>
              <w:top w:w="80" w:type="dxa"/>
              <w:bottom w:w="80" w:type="dxa"/>
              <w:start w:w="120" w:type="dxa"/>
              <w:end w:w="120" w:type="dxa"/>
            </w:tcMar>
          </w:tcPr>
          <w:p>
            <w:pPr>
              <w:spacing w:before="0" w:after="40" w:line="264" w:lineRule="auto"/>
              <w:jc w:val="left"/>
            </w:pPr>
            <w:r/>
            <w:r>
              <w:rPr>
                <w:rFonts w:ascii="Calibri" w:hAnsi="Calibri"/>
                <w:b w:val="0"/>
                <w:i w:val="0"/>
                <w:color w:val="111827"/>
                <w:sz w:val="21"/>
              </w:rPr>
              <w:t>MUST</w:t>
            </w:r>
          </w:p>
        </w:tc>
        <w:tc>
          <w:tcPr>
            <w:tcW w:type="dxa" w:w="4560"/>
            <w:vAlign w:val="center"/>
            <w:tcMar>
              <w:top w:w="80" w:type="dxa"/>
              <w:bottom w:w="80" w:type="dxa"/>
              <w:start w:w="120" w:type="dxa"/>
              <w:end w:w="120" w:type="dxa"/>
            </w:tcMar>
          </w:tcPr>
          <w:p>
            <w:pPr>
              <w:spacing w:before="0" w:after="40" w:line="264" w:lineRule="auto"/>
              <w:jc w:val="left"/>
            </w:pPr>
            <w:r/>
            <w:r>
              <w:rPr>
                <w:rFonts w:ascii="Calibri" w:hAnsi="Calibri"/>
                <w:b w:val="0"/>
                <w:i w:val="0"/>
                <w:color w:val="111827"/>
                <w:sz w:val="21"/>
              </w:rPr>
              <w:t>Required keys, types, and version declarations are present and valid.</w:t>
            </w:r>
          </w:p>
        </w:tc>
      </w:tr>
      <w:tr>
        <w:tc>
          <w:tcPr>
            <w:tcW w:type="dxa" w:w="2200"/>
            <w:vAlign w:val="center"/>
            <w:tcMar>
              <w:top w:w="80" w:type="dxa"/>
              <w:bottom w:w="80" w:type="dxa"/>
              <w:start w:w="120" w:type="dxa"/>
              <w:end w:w="120" w:type="dxa"/>
            </w:tcMar>
          </w:tcPr>
          <w:p>
            <w:pPr>
              <w:spacing w:before="0" w:after="40" w:line="264" w:lineRule="auto"/>
              <w:jc w:val="left"/>
            </w:pPr>
            <w:r/>
            <w:r>
              <w:rPr>
                <w:rFonts w:ascii="Calibri" w:hAnsi="Calibri"/>
                <w:b w:val="0"/>
                <w:i w:val="0"/>
                <w:color w:val="111827"/>
                <w:sz w:val="21"/>
              </w:rPr>
              <w:t>Identity integrity</w:t>
            </w:r>
          </w:p>
        </w:tc>
        <w:tc>
          <w:tcPr>
            <w:tcW w:type="dxa" w:w="2600"/>
            <w:vAlign w:val="center"/>
            <w:tcMar>
              <w:top w:w="80" w:type="dxa"/>
              <w:bottom w:w="80" w:type="dxa"/>
              <w:start w:w="120" w:type="dxa"/>
              <w:end w:w="120" w:type="dxa"/>
            </w:tcMar>
          </w:tcPr>
          <w:p>
            <w:pPr>
              <w:spacing w:before="0" w:after="40" w:line="264" w:lineRule="auto"/>
              <w:jc w:val="left"/>
            </w:pPr>
            <w:r/>
            <w:r>
              <w:rPr>
                <w:rFonts w:ascii="Calibri" w:hAnsi="Calibri"/>
                <w:b w:val="0"/>
                <w:i w:val="0"/>
                <w:color w:val="111827"/>
                <w:sz w:val="21"/>
              </w:rPr>
              <w:t>MUST</w:t>
            </w:r>
          </w:p>
        </w:tc>
        <w:tc>
          <w:tcPr>
            <w:tcW w:type="dxa" w:w="4560"/>
            <w:vAlign w:val="center"/>
            <w:tcMar>
              <w:top w:w="80" w:type="dxa"/>
              <w:bottom w:w="80" w:type="dxa"/>
              <w:start w:w="120" w:type="dxa"/>
              <w:end w:w="120" w:type="dxa"/>
            </w:tcMar>
          </w:tcPr>
          <w:p>
            <w:pPr>
              <w:spacing w:before="0" w:after="40" w:line="264" w:lineRule="auto"/>
              <w:jc w:val="left"/>
            </w:pPr>
            <w:r/>
            <w:r>
              <w:rPr>
                <w:rFonts w:ascii="Calibri" w:hAnsi="Calibri"/>
                <w:b w:val="0"/>
                <w:i w:val="0"/>
                <w:color w:val="111827"/>
                <w:sz w:val="21"/>
              </w:rPr>
              <w:t>Name, version, and status fields are internally consistent.</w:t>
            </w:r>
          </w:p>
        </w:tc>
      </w:tr>
      <w:tr>
        <w:tc>
          <w:tcPr>
            <w:tcW w:type="dxa" w:w="2200"/>
            <w:vAlign w:val="center"/>
            <w:tcMar>
              <w:top w:w="80" w:type="dxa"/>
              <w:bottom w:w="80" w:type="dxa"/>
              <w:start w:w="120" w:type="dxa"/>
              <w:end w:w="120" w:type="dxa"/>
            </w:tcMar>
          </w:tcPr>
          <w:p>
            <w:pPr>
              <w:spacing w:before="0" w:after="40" w:line="264" w:lineRule="auto"/>
              <w:jc w:val="left"/>
            </w:pPr>
            <w:r/>
            <w:r>
              <w:rPr>
                <w:rFonts w:ascii="Calibri" w:hAnsi="Calibri"/>
                <w:b w:val="0"/>
                <w:i w:val="0"/>
                <w:color w:val="111827"/>
                <w:sz w:val="21"/>
              </w:rPr>
              <w:t>Decision presence</w:t>
            </w:r>
          </w:p>
        </w:tc>
        <w:tc>
          <w:tcPr>
            <w:tcW w:type="dxa" w:w="2600"/>
            <w:vAlign w:val="center"/>
            <w:tcMar>
              <w:top w:w="80" w:type="dxa"/>
              <w:bottom w:w="80" w:type="dxa"/>
              <w:start w:w="120" w:type="dxa"/>
              <w:end w:w="120" w:type="dxa"/>
            </w:tcMar>
          </w:tcPr>
          <w:p>
            <w:pPr>
              <w:spacing w:before="0" w:after="40" w:line="264" w:lineRule="auto"/>
              <w:jc w:val="left"/>
            </w:pPr>
            <w:r/>
            <w:r>
              <w:rPr>
                <w:rFonts w:ascii="Calibri" w:hAnsi="Calibri"/>
                <w:b w:val="0"/>
                <w:i w:val="0"/>
                <w:color w:val="111827"/>
                <w:sz w:val="21"/>
              </w:rPr>
              <w:t>MUST</w:t>
            </w:r>
          </w:p>
        </w:tc>
        <w:tc>
          <w:tcPr>
            <w:tcW w:type="dxa" w:w="4560"/>
            <w:vAlign w:val="center"/>
            <w:tcMar>
              <w:top w:w="80" w:type="dxa"/>
              <w:bottom w:w="80" w:type="dxa"/>
              <w:start w:w="120" w:type="dxa"/>
              <w:end w:w="120" w:type="dxa"/>
            </w:tcMar>
          </w:tcPr>
          <w:p>
            <w:pPr>
              <w:spacing w:before="0" w:after="40" w:line="264" w:lineRule="auto"/>
              <w:jc w:val="left"/>
            </w:pPr>
            <w:r/>
            <w:r>
              <w:rPr>
                <w:rFonts w:ascii="Calibri" w:hAnsi="Calibri"/>
                <w:b w:val="0"/>
                <w:i w:val="0"/>
                <w:color w:val="111827"/>
                <w:sz w:val="21"/>
              </w:rPr>
              <w:t>At least one explicit decision object exists.</w:t>
            </w:r>
          </w:p>
        </w:tc>
      </w:tr>
      <w:tr>
        <w:tc>
          <w:tcPr>
            <w:tcW w:type="dxa" w:w="2200"/>
            <w:vAlign w:val="center"/>
            <w:tcMar>
              <w:top w:w="80" w:type="dxa"/>
              <w:bottom w:w="80" w:type="dxa"/>
              <w:start w:w="120" w:type="dxa"/>
              <w:end w:w="120" w:type="dxa"/>
            </w:tcMar>
          </w:tcPr>
          <w:p>
            <w:pPr>
              <w:spacing w:before="0" w:after="40" w:line="264" w:lineRule="auto"/>
              <w:jc w:val="left"/>
            </w:pPr>
            <w:r/>
            <w:r>
              <w:rPr>
                <w:rFonts w:ascii="Calibri" w:hAnsi="Calibri"/>
                <w:b w:val="0"/>
                <w:i w:val="0"/>
                <w:color w:val="111827"/>
                <w:sz w:val="21"/>
              </w:rPr>
              <w:t>Governance presence</w:t>
            </w:r>
          </w:p>
        </w:tc>
        <w:tc>
          <w:tcPr>
            <w:tcW w:type="dxa" w:w="2600"/>
            <w:vAlign w:val="center"/>
            <w:tcMar>
              <w:top w:w="80" w:type="dxa"/>
              <w:bottom w:w="80" w:type="dxa"/>
              <w:start w:w="120" w:type="dxa"/>
              <w:end w:w="120" w:type="dxa"/>
            </w:tcMar>
          </w:tcPr>
          <w:p>
            <w:pPr>
              <w:spacing w:before="0" w:after="40" w:line="264" w:lineRule="auto"/>
              <w:jc w:val="left"/>
            </w:pPr>
            <w:r/>
            <w:r>
              <w:rPr>
                <w:rFonts w:ascii="Calibri" w:hAnsi="Calibri"/>
                <w:b w:val="0"/>
                <w:i w:val="0"/>
                <w:color w:val="111827"/>
                <w:sz w:val="21"/>
              </w:rPr>
              <w:t>MUST</w:t>
            </w:r>
          </w:p>
        </w:tc>
        <w:tc>
          <w:tcPr>
            <w:tcW w:type="dxa" w:w="4560"/>
            <w:vAlign w:val="center"/>
            <w:tcMar>
              <w:top w:w="80" w:type="dxa"/>
              <w:bottom w:w="80" w:type="dxa"/>
              <w:start w:w="120" w:type="dxa"/>
              <w:end w:w="120" w:type="dxa"/>
            </w:tcMar>
          </w:tcPr>
          <w:p>
            <w:pPr>
              <w:spacing w:before="0" w:after="40" w:line="264" w:lineRule="auto"/>
              <w:jc w:val="left"/>
            </w:pPr>
            <w:r/>
            <w:r>
              <w:rPr>
                <w:rFonts w:ascii="Calibri" w:hAnsi="Calibri"/>
                <w:b w:val="0"/>
                <w:i w:val="0"/>
                <w:color w:val="111827"/>
                <w:sz w:val="21"/>
              </w:rPr>
              <w:t>Allow, deny, approval, or fallback posture is defined.</w:t>
            </w:r>
          </w:p>
        </w:tc>
      </w:tr>
      <w:tr>
        <w:tc>
          <w:tcPr>
            <w:tcW w:type="dxa" w:w="2200"/>
            <w:vAlign w:val="center"/>
            <w:tcMar>
              <w:top w:w="80" w:type="dxa"/>
              <w:bottom w:w="80" w:type="dxa"/>
              <w:start w:w="120" w:type="dxa"/>
              <w:end w:w="120" w:type="dxa"/>
            </w:tcMar>
          </w:tcPr>
          <w:p>
            <w:pPr>
              <w:spacing w:before="0" w:after="40" w:line="264" w:lineRule="auto"/>
              <w:jc w:val="left"/>
            </w:pPr>
            <w:r/>
            <w:r>
              <w:rPr>
                <w:rFonts w:ascii="Calibri" w:hAnsi="Calibri"/>
                <w:b w:val="0"/>
                <w:i w:val="0"/>
                <w:color w:val="111827"/>
                <w:sz w:val="21"/>
              </w:rPr>
              <w:t>Outcome presence</w:t>
            </w:r>
          </w:p>
        </w:tc>
        <w:tc>
          <w:tcPr>
            <w:tcW w:type="dxa" w:w="2600"/>
            <w:vAlign w:val="center"/>
            <w:tcMar>
              <w:top w:w="80" w:type="dxa"/>
              <w:bottom w:w="80" w:type="dxa"/>
              <w:start w:w="120" w:type="dxa"/>
              <w:end w:w="120" w:type="dxa"/>
            </w:tcMar>
          </w:tcPr>
          <w:p>
            <w:pPr>
              <w:spacing w:before="0" w:after="40" w:line="264" w:lineRule="auto"/>
              <w:jc w:val="left"/>
            </w:pPr>
            <w:r/>
            <w:r>
              <w:rPr>
                <w:rFonts w:ascii="Calibri" w:hAnsi="Calibri"/>
                <w:b w:val="0"/>
                <w:i w:val="0"/>
                <w:color w:val="111827"/>
                <w:sz w:val="21"/>
              </w:rPr>
              <w:t>MUST</w:t>
            </w:r>
          </w:p>
        </w:tc>
        <w:tc>
          <w:tcPr>
            <w:tcW w:type="dxa" w:w="4560"/>
            <w:vAlign w:val="center"/>
            <w:tcMar>
              <w:top w:w="80" w:type="dxa"/>
              <w:bottom w:w="80" w:type="dxa"/>
              <w:start w:w="120" w:type="dxa"/>
              <w:end w:w="120" w:type="dxa"/>
            </w:tcMar>
          </w:tcPr>
          <w:p>
            <w:pPr>
              <w:spacing w:before="0" w:after="40" w:line="264" w:lineRule="auto"/>
              <w:jc w:val="left"/>
            </w:pPr>
            <w:r/>
            <w:r>
              <w:rPr>
                <w:rFonts w:ascii="Calibri" w:hAnsi="Calibri"/>
                <w:b w:val="0"/>
                <w:i w:val="0"/>
                <w:color w:val="111827"/>
                <w:sz w:val="21"/>
              </w:rPr>
              <w:t>Success or closure criteria are defined.</w:t>
            </w:r>
          </w:p>
        </w:tc>
      </w:tr>
      <w:tr>
        <w:tc>
          <w:tcPr>
            <w:tcW w:type="dxa" w:w="2200"/>
            <w:vAlign w:val="center"/>
            <w:tcMar>
              <w:top w:w="80" w:type="dxa"/>
              <w:bottom w:w="80" w:type="dxa"/>
              <w:start w:w="120" w:type="dxa"/>
              <w:end w:w="120" w:type="dxa"/>
            </w:tcMar>
          </w:tcPr>
          <w:p>
            <w:pPr>
              <w:spacing w:before="0" w:after="40" w:line="264" w:lineRule="auto"/>
              <w:jc w:val="left"/>
            </w:pPr>
            <w:r/>
            <w:r>
              <w:rPr>
                <w:rFonts w:ascii="Calibri" w:hAnsi="Calibri"/>
                <w:b w:val="0"/>
                <w:i w:val="0"/>
                <w:color w:val="111827"/>
                <w:sz w:val="21"/>
              </w:rPr>
              <w:t>Artifact references</w:t>
            </w:r>
          </w:p>
        </w:tc>
        <w:tc>
          <w:tcPr>
            <w:tcW w:type="dxa" w:w="2600"/>
            <w:vAlign w:val="center"/>
            <w:tcMar>
              <w:top w:w="80" w:type="dxa"/>
              <w:bottom w:w="80" w:type="dxa"/>
              <w:start w:w="120" w:type="dxa"/>
              <w:end w:w="120" w:type="dxa"/>
            </w:tcMar>
          </w:tcPr>
          <w:p>
            <w:pPr>
              <w:spacing w:before="0" w:after="40" w:line="264" w:lineRule="auto"/>
              <w:jc w:val="left"/>
            </w:pPr>
            <w:r/>
            <w:r>
              <w:rPr>
                <w:rFonts w:ascii="Calibri" w:hAnsi="Calibri"/>
                <w:b w:val="0"/>
                <w:i w:val="0"/>
                <w:color w:val="111827"/>
                <w:sz w:val="21"/>
              </w:rPr>
              <w:t>SHOULD</w:t>
            </w:r>
          </w:p>
        </w:tc>
        <w:tc>
          <w:tcPr>
            <w:tcW w:type="dxa" w:w="4560"/>
            <w:vAlign w:val="center"/>
            <w:tcMar>
              <w:top w:w="80" w:type="dxa"/>
              <w:bottom w:w="80" w:type="dxa"/>
              <w:start w:w="120" w:type="dxa"/>
              <w:end w:w="120" w:type="dxa"/>
            </w:tcMar>
          </w:tcPr>
          <w:p>
            <w:pPr>
              <w:spacing w:before="0" w:after="40" w:line="264" w:lineRule="auto"/>
              <w:jc w:val="left"/>
            </w:pPr>
            <w:r/>
            <w:r>
              <w:rPr>
                <w:rFonts w:ascii="Calibri" w:hAnsi="Calibri"/>
                <w:b w:val="0"/>
                <w:i w:val="0"/>
                <w:color w:val="111827"/>
                <w:sz w:val="21"/>
              </w:rPr>
              <w:t>Linked semantic, rules, and validation artifacts exist and match version expectations.</w:t>
            </w:r>
          </w:p>
        </w:tc>
      </w:tr>
      <w:tr>
        <w:tc>
          <w:tcPr>
            <w:tcW w:type="dxa" w:w="2200"/>
            <w:vAlign w:val="center"/>
            <w:tcMar>
              <w:top w:w="80" w:type="dxa"/>
              <w:bottom w:w="80" w:type="dxa"/>
              <w:start w:w="120" w:type="dxa"/>
              <w:end w:w="120" w:type="dxa"/>
            </w:tcMar>
          </w:tcPr>
          <w:p>
            <w:pPr>
              <w:spacing w:before="0" w:after="40" w:line="264" w:lineRule="auto"/>
              <w:jc w:val="left"/>
            </w:pPr>
            <w:r/>
            <w:r>
              <w:rPr>
                <w:rFonts w:ascii="Calibri" w:hAnsi="Calibri"/>
                <w:b w:val="0"/>
                <w:i w:val="0"/>
                <w:color w:val="111827"/>
                <w:sz w:val="21"/>
              </w:rPr>
              <w:t>Risk semantics</w:t>
            </w:r>
          </w:p>
        </w:tc>
        <w:tc>
          <w:tcPr>
            <w:tcW w:type="dxa" w:w="2600"/>
            <w:vAlign w:val="center"/>
            <w:tcMar>
              <w:top w:w="80" w:type="dxa"/>
              <w:bottom w:w="80" w:type="dxa"/>
              <w:start w:w="120" w:type="dxa"/>
              <w:end w:w="120" w:type="dxa"/>
            </w:tcMar>
          </w:tcPr>
          <w:p>
            <w:pPr>
              <w:spacing w:before="0" w:after="40" w:line="264" w:lineRule="auto"/>
              <w:jc w:val="left"/>
            </w:pPr>
            <w:r/>
            <w:r>
              <w:rPr>
                <w:rFonts w:ascii="Calibri" w:hAnsi="Calibri"/>
                <w:b w:val="0"/>
                <w:i w:val="0"/>
                <w:color w:val="111827"/>
                <w:sz w:val="21"/>
              </w:rPr>
              <w:t>SHOULD</w:t>
            </w:r>
          </w:p>
        </w:tc>
        <w:tc>
          <w:tcPr>
            <w:tcW w:type="dxa" w:w="4560"/>
            <w:vAlign w:val="center"/>
            <w:tcMar>
              <w:top w:w="80" w:type="dxa"/>
              <w:bottom w:w="80" w:type="dxa"/>
              <w:start w:w="120" w:type="dxa"/>
              <w:end w:w="120" w:type="dxa"/>
            </w:tcMar>
          </w:tcPr>
          <w:p>
            <w:pPr>
              <w:spacing w:before="0" w:after="40" w:line="264" w:lineRule="auto"/>
              <w:jc w:val="left"/>
            </w:pPr>
            <w:r/>
            <w:r>
              <w:rPr>
                <w:rFonts w:ascii="Calibri" w:hAnsi="Calibri"/>
                <w:b w:val="0"/>
                <w:i w:val="0"/>
                <w:color w:val="111827"/>
                <w:sz w:val="21"/>
              </w:rPr>
              <w:t>High-risk or destructive actions imply approval or fallback rules.</w:t>
            </w:r>
          </w:p>
        </w:tc>
      </w:tr>
      <w:tr>
        <w:tc>
          <w:tcPr>
            <w:tcW w:type="dxa" w:w="2200"/>
            <w:vAlign w:val="center"/>
            <w:tcMar>
              <w:top w:w="80" w:type="dxa"/>
              <w:bottom w:w="80" w:type="dxa"/>
              <w:start w:w="120" w:type="dxa"/>
              <w:end w:w="120" w:type="dxa"/>
            </w:tcMar>
          </w:tcPr>
          <w:p>
            <w:pPr>
              <w:spacing w:before="0" w:after="40" w:line="264" w:lineRule="auto"/>
              <w:jc w:val="left"/>
            </w:pPr>
            <w:r/>
            <w:r>
              <w:rPr>
                <w:rFonts w:ascii="Calibri" w:hAnsi="Calibri"/>
                <w:b w:val="0"/>
                <w:i w:val="0"/>
                <w:color w:val="111827"/>
                <w:sz w:val="21"/>
              </w:rPr>
              <w:t>Evidence completeness</w:t>
            </w:r>
          </w:p>
        </w:tc>
        <w:tc>
          <w:tcPr>
            <w:tcW w:type="dxa" w:w="2600"/>
            <w:vAlign w:val="center"/>
            <w:tcMar>
              <w:top w:w="80" w:type="dxa"/>
              <w:bottom w:w="80" w:type="dxa"/>
              <w:start w:w="120" w:type="dxa"/>
              <w:end w:w="120" w:type="dxa"/>
            </w:tcMar>
          </w:tcPr>
          <w:p>
            <w:pPr>
              <w:spacing w:before="0" w:after="40" w:line="264" w:lineRule="auto"/>
              <w:jc w:val="left"/>
            </w:pPr>
            <w:r/>
            <w:r>
              <w:rPr>
                <w:rFonts w:ascii="Calibri" w:hAnsi="Calibri"/>
                <w:b w:val="0"/>
                <w:i w:val="0"/>
                <w:color w:val="111827"/>
                <w:sz w:val="21"/>
              </w:rPr>
              <w:t>SHOULD</w:t>
            </w:r>
          </w:p>
        </w:tc>
        <w:tc>
          <w:tcPr>
            <w:tcW w:type="dxa" w:w="4560"/>
            <w:vAlign w:val="center"/>
            <w:tcMar>
              <w:top w:w="80" w:type="dxa"/>
              <w:bottom w:w="80" w:type="dxa"/>
              <w:start w:w="120" w:type="dxa"/>
              <w:end w:w="120" w:type="dxa"/>
            </w:tcMar>
          </w:tcPr>
          <w:p>
            <w:pPr>
              <w:spacing w:before="0" w:after="40" w:line="264" w:lineRule="auto"/>
              <w:jc w:val="left"/>
            </w:pPr>
            <w:r/>
            <w:r>
              <w:rPr>
                <w:rFonts w:ascii="Calibri" w:hAnsi="Calibri"/>
                <w:b w:val="0"/>
                <w:i w:val="0"/>
                <w:color w:val="111827"/>
                <w:sz w:val="21"/>
              </w:rPr>
              <w:t>Audit and decision trace requirements exist for runtime claims.</w:t>
            </w:r>
          </w:p>
        </w:tc>
      </w:tr>
    </w:tbl>
    <w:p>
      <w:pPr>
        <w:pStyle w:val="Heading1"/>
      </w:pPr>
      <w:r>
        <w:t>12. Runtime Conformance Requirements</w:t>
      </w:r>
    </w:p>
    <w:p>
      <w:pPr>
        <w:spacing w:before="0" w:after="120" w:line="276" w:lineRule="auto"/>
      </w:pPr>
      <w:r>
        <w:rPr>
          <w:rFonts w:ascii="Calibri" w:hAnsi="Calibri"/>
          <w:b w:val="0"/>
          <w:i w:val="0"/>
          <w:color w:val="111827"/>
          <w:sz w:val="22"/>
        </w:rPr>
        <w:t>A runtime claiming conformance MUST preserve the semantics of the portable package rather than flattening it into ad hoc automation.</w:t>
      </w:r>
    </w:p>
    <w:p>
      <w:pPr>
        <w:pStyle w:val="ListBullet"/>
        <w:spacing w:before="0" w:after="80" w:line="269" w:lineRule="auto"/>
      </w:pPr>
      <w:r>
        <w:rPr>
          <w:rFonts w:ascii="Calibri" w:hAnsi="Calibri"/>
          <w:b w:val="0"/>
          <w:i w:val="0"/>
          <w:color w:val="111827"/>
          <w:sz w:val="22"/>
        </w:rPr>
        <w:t>The runtime MUST assemble context before final governed execution.</w:t>
      </w:r>
    </w:p>
    <w:p>
      <w:pPr>
        <w:pStyle w:val="ListBullet"/>
        <w:spacing w:before="0" w:after="80" w:line="269" w:lineRule="auto"/>
      </w:pPr>
      <w:r>
        <w:rPr>
          <w:rFonts w:ascii="Calibri" w:hAnsi="Calibri"/>
          <w:b w:val="0"/>
          <w:i w:val="0"/>
          <w:color w:val="111827"/>
          <w:sz w:val="22"/>
        </w:rPr>
        <w:t>The runtime MUST evaluate explicit decisions before external action side effects.</w:t>
      </w:r>
    </w:p>
    <w:p>
      <w:pPr>
        <w:pStyle w:val="ListBullet"/>
        <w:spacing w:before="0" w:after="80" w:line="269" w:lineRule="auto"/>
      </w:pPr>
      <w:r>
        <w:rPr>
          <w:rFonts w:ascii="Calibri" w:hAnsi="Calibri"/>
          <w:b w:val="0"/>
          <w:i w:val="0"/>
          <w:color w:val="111827"/>
          <w:sz w:val="22"/>
        </w:rPr>
        <w:t>The runtime MUST evaluate governance before execution.</w:t>
      </w:r>
    </w:p>
    <w:p>
      <w:pPr>
        <w:pStyle w:val="ListBullet"/>
        <w:spacing w:before="0" w:after="80" w:line="269" w:lineRule="auto"/>
      </w:pPr>
      <w:r>
        <w:rPr>
          <w:rFonts w:ascii="Calibri" w:hAnsi="Calibri"/>
          <w:b w:val="0"/>
          <w:i w:val="0"/>
          <w:color w:val="111827"/>
          <w:sz w:val="22"/>
        </w:rPr>
        <w:t>The runtime MUST record deny, approval, fallback, and execution outcomes distinctly.</w:t>
      </w:r>
    </w:p>
    <w:p>
      <w:pPr>
        <w:pStyle w:val="ListBullet"/>
        <w:spacing w:before="0" w:after="80" w:line="269" w:lineRule="auto"/>
      </w:pPr>
      <w:r>
        <w:rPr>
          <w:rFonts w:ascii="Calibri" w:hAnsi="Calibri"/>
          <w:b w:val="0"/>
          <w:i w:val="0"/>
          <w:color w:val="111827"/>
          <w:sz w:val="22"/>
        </w:rPr>
        <w:t>The runtime MUST update or attach evidence to the COR or equivalent truth record.</w:t>
      </w:r>
    </w:p>
    <w:p>
      <w:pPr>
        <w:pStyle w:val="ListBullet"/>
        <w:spacing w:before="0" w:after="80" w:line="269" w:lineRule="auto"/>
      </w:pPr>
      <w:r>
        <w:rPr>
          <w:rFonts w:ascii="Calibri" w:hAnsi="Calibri"/>
          <w:b w:val="0"/>
          <w:i w:val="0"/>
          <w:color w:val="111827"/>
          <w:sz w:val="22"/>
        </w:rPr>
        <w:t>The runtime MUST support resumable continuation when new qualifying, correlation, or validation signals arrive.</w:t>
      </w:r>
    </w:p>
    <w:p>
      <w:pPr>
        <w:pStyle w:val="ListBullet"/>
        <w:spacing w:before="0" w:after="80" w:line="269" w:lineRule="auto"/>
      </w:pPr>
      <w:r>
        <w:rPr>
          <w:rFonts w:ascii="Calibri" w:hAnsi="Calibri"/>
          <w:b w:val="0"/>
          <w:i w:val="0"/>
          <w:color w:val="111827"/>
          <w:sz w:val="22"/>
        </w:rPr>
        <w:t>The runtime MUST preserve version identity of the imported package used for execution.</w:t>
      </w:r>
    </w:p>
    <w:p>
      <w:pPr>
        <w:pStyle w:val="Heading1"/>
      </w:pPr>
      <w:r>
        <w:t>13. Governance and Risk Requirements</w:t>
      </w:r>
    </w:p>
    <w:p>
      <w:pPr>
        <w:spacing w:before="0" w:after="120" w:line="276" w:lineRule="auto"/>
      </w:pPr>
      <w:r>
        <w:rPr>
          <w:rFonts w:ascii="Calibri" w:hAnsi="Calibri"/>
          <w:b w:val="0"/>
          <w:i w:val="0"/>
          <w:color w:val="111827"/>
          <w:sz w:val="22"/>
        </w:rPr>
        <w:t>Governance evaluation MUST consider tenant policy scope, environment classification, blast radius, criticality, approval thresholds, action allowlists, blackout windows, and compliance implications when relevant.</w:t>
      </w:r>
    </w:p>
    <w:p>
      <w:pPr>
        <w:pStyle w:val="ListBullet"/>
        <w:spacing w:before="0" w:after="80" w:line="269" w:lineRule="auto"/>
      </w:pPr>
      <w:r>
        <w:rPr>
          <w:rFonts w:ascii="Calibri" w:hAnsi="Calibri"/>
          <w:b w:val="0"/>
          <w:i w:val="0"/>
          <w:color w:val="111827"/>
          <w:sz w:val="22"/>
        </w:rPr>
        <w:t>Destructive or high-blast-radius actions MUST support explicit approval paths.</w:t>
      </w:r>
    </w:p>
    <w:p>
      <w:pPr>
        <w:pStyle w:val="ListBullet"/>
        <w:spacing w:before="0" w:after="80" w:line="269" w:lineRule="auto"/>
      </w:pPr>
      <w:r>
        <w:rPr>
          <w:rFonts w:ascii="Calibri" w:hAnsi="Calibri"/>
          <w:b w:val="0"/>
          <w:i w:val="0"/>
          <w:color w:val="111827"/>
          <w:sz w:val="22"/>
        </w:rPr>
        <w:t>Policy denial MUST be expressible independently of workflow failure.</w:t>
      </w:r>
    </w:p>
    <w:p>
      <w:pPr>
        <w:pStyle w:val="ListBullet"/>
        <w:spacing w:before="0" w:after="80" w:line="269" w:lineRule="auto"/>
      </w:pPr>
      <w:r>
        <w:rPr>
          <w:rFonts w:ascii="Calibri" w:hAnsi="Calibri"/>
          <w:b w:val="0"/>
          <w:i w:val="0"/>
          <w:color w:val="111827"/>
          <w:sz w:val="22"/>
        </w:rPr>
        <w:t>A denied action MUST remain auditable with rationale and evidence.</w:t>
      </w:r>
    </w:p>
    <w:p>
      <w:pPr>
        <w:pStyle w:val="ListBullet"/>
        <w:spacing w:before="0" w:after="80" w:line="269" w:lineRule="auto"/>
      </w:pPr>
      <w:r>
        <w:rPr>
          <w:rFonts w:ascii="Calibri" w:hAnsi="Calibri"/>
          <w:b w:val="0"/>
          <w:i w:val="0"/>
          <w:color w:val="111827"/>
          <w:sz w:val="22"/>
        </w:rPr>
        <w:t>Human takeover MUST be available when confidence, context completeness, or policy posture is insufficient.</w:t>
      </w:r>
    </w:p>
    <w:p>
      <w:pPr>
        <w:pStyle w:val="ListBullet"/>
        <w:spacing w:before="0" w:after="80" w:line="269" w:lineRule="auto"/>
      </w:pPr>
      <w:r>
        <w:rPr>
          <w:rFonts w:ascii="Calibri" w:hAnsi="Calibri"/>
          <w:b w:val="0"/>
          <w:i w:val="0"/>
          <w:color w:val="111827"/>
          <w:sz w:val="22"/>
        </w:rPr>
        <w:t>Execution adapters SHOULD remain bounded and policy-aware rather than allowing arbitrary free-form actions.</w:t>
      </w:r>
    </w:p>
    <w:p>
      <w:pPr>
        <w:pStyle w:val="Heading1"/>
      </w:pPr>
      <w:r>
        <w:t>14. Explainability and Evidence Requirements</w:t>
      </w:r>
    </w:p>
    <w:p>
      <w:pPr>
        <w:spacing w:before="0" w:after="120" w:line="276" w:lineRule="auto"/>
      </w:pPr>
      <w:r>
        <w:rPr>
          <w:rFonts w:ascii="Calibri" w:hAnsi="Calibri"/>
          <w:b w:val="0"/>
          <w:i w:val="0"/>
          <w:color w:val="111827"/>
          <w:sz w:val="22"/>
        </w:rPr>
        <w:t>Every decision-producing component in a conformant implementation MUST emit enough information to explain why a recommendation or action path was selected.</w:t>
      </w:r>
    </w:p>
    <w:p>
      <w:pPr>
        <w:pStyle w:val="ListBullet"/>
        <w:spacing w:before="0" w:after="80" w:line="269" w:lineRule="auto"/>
      </w:pPr>
      <w:r>
        <w:rPr>
          <w:rFonts w:ascii="Calibri" w:hAnsi="Calibri"/>
          <w:b w:val="0"/>
          <w:i w:val="0"/>
          <w:color w:val="111827"/>
          <w:sz w:val="22"/>
        </w:rPr>
        <w:t>decision_id</w:t>
      </w:r>
    </w:p>
    <w:p>
      <w:pPr>
        <w:pStyle w:val="ListBullet"/>
        <w:spacing w:before="0" w:after="80" w:line="269" w:lineRule="auto"/>
      </w:pPr>
      <w:r>
        <w:rPr>
          <w:rFonts w:ascii="Calibri" w:hAnsi="Calibri"/>
          <w:b w:val="0"/>
          <w:i w:val="0"/>
          <w:color w:val="111827"/>
          <w:sz w:val="22"/>
        </w:rPr>
        <w:t>decision_rationale</w:t>
      </w:r>
    </w:p>
    <w:p>
      <w:pPr>
        <w:pStyle w:val="ListBullet"/>
        <w:spacing w:before="0" w:after="80" w:line="269" w:lineRule="auto"/>
      </w:pPr>
      <w:r>
        <w:rPr>
          <w:rFonts w:ascii="Calibri" w:hAnsi="Calibri"/>
          <w:b w:val="0"/>
          <w:i w:val="0"/>
          <w:color w:val="111827"/>
          <w:sz w:val="22"/>
        </w:rPr>
        <w:t>decision_type</w:t>
      </w:r>
    </w:p>
    <w:p>
      <w:pPr>
        <w:pStyle w:val="ListBullet"/>
        <w:spacing w:before="0" w:after="80" w:line="269" w:lineRule="auto"/>
      </w:pPr>
      <w:r>
        <w:rPr>
          <w:rFonts w:ascii="Calibri" w:hAnsi="Calibri"/>
          <w:b w:val="0"/>
          <w:i w:val="0"/>
          <w:color w:val="111827"/>
          <w:sz w:val="22"/>
        </w:rPr>
        <w:t>recommended_action</w:t>
      </w:r>
    </w:p>
    <w:p>
      <w:pPr>
        <w:pStyle w:val="ListBullet"/>
        <w:spacing w:before="0" w:after="80" w:line="269" w:lineRule="auto"/>
      </w:pPr>
      <w:r>
        <w:rPr>
          <w:rFonts w:ascii="Calibri" w:hAnsi="Calibri"/>
          <w:b w:val="0"/>
          <w:i w:val="0"/>
          <w:color w:val="111827"/>
          <w:sz w:val="22"/>
        </w:rPr>
        <w:t>policy_basis</w:t>
      </w:r>
    </w:p>
    <w:p>
      <w:pPr>
        <w:pStyle w:val="ListBullet"/>
        <w:spacing w:before="0" w:after="80" w:line="269" w:lineRule="auto"/>
      </w:pPr>
      <w:r>
        <w:rPr>
          <w:rFonts w:ascii="Calibri" w:hAnsi="Calibri"/>
          <w:b w:val="0"/>
          <w:i w:val="0"/>
          <w:color w:val="111827"/>
          <w:sz w:val="22"/>
        </w:rPr>
        <w:t>evidence_refs</w:t>
      </w:r>
    </w:p>
    <w:p>
      <w:pPr>
        <w:pStyle w:val="ListBullet"/>
        <w:spacing w:before="0" w:after="80" w:line="269" w:lineRule="auto"/>
      </w:pPr>
      <w:r>
        <w:rPr>
          <w:rFonts w:ascii="Calibri" w:hAnsi="Calibri"/>
          <w:b w:val="0"/>
          <w:i w:val="0"/>
          <w:color w:val="111827"/>
          <w:sz w:val="22"/>
        </w:rPr>
        <w:t>risk_score_before and risk_score_after when applicable</w:t>
      </w:r>
    </w:p>
    <w:p>
      <w:pPr>
        <w:pStyle w:val="ListBullet"/>
        <w:spacing w:before="0" w:after="80" w:line="269" w:lineRule="auto"/>
      </w:pPr>
      <w:r>
        <w:rPr>
          <w:rFonts w:ascii="Calibri" w:hAnsi="Calibri"/>
          <w:b w:val="0"/>
          <w:i w:val="0"/>
          <w:color w:val="111827"/>
          <w:sz w:val="22"/>
        </w:rPr>
        <w:t>human_approval_required</w:t>
      </w:r>
    </w:p>
    <w:p>
      <w:pPr>
        <w:pStyle w:val="ListBullet"/>
        <w:spacing w:before="0" w:after="80" w:line="269" w:lineRule="auto"/>
      </w:pPr>
      <w:r>
        <w:rPr>
          <w:rFonts w:ascii="Calibri" w:hAnsi="Calibri"/>
          <w:b w:val="0"/>
          <w:i w:val="0"/>
          <w:color w:val="111827"/>
          <w:sz w:val="22"/>
        </w:rPr>
        <w:t>reasoning_summary</w:t>
      </w:r>
    </w:p>
    <w:p>
      <w:pPr>
        <w:spacing w:before="0" w:after="120" w:line="276" w:lineRule="auto"/>
      </w:pPr>
      <w:r>
        <w:rPr>
          <w:rFonts w:ascii="Calibri" w:hAnsi="Calibri"/>
          <w:b w:val="0"/>
          <w:i w:val="0"/>
          <w:color w:val="111827"/>
          <w:sz w:val="22"/>
        </w:rPr>
        <w:t>Every completed path MUST preserve outcome evidence, validation signals, and an audit trace that connects signal intake, context assembly, decisions, governance outcomes, executions, and closure.</w:t>
      </w:r>
    </w:p>
    <w:p>
      <w:pPr>
        <w:pStyle w:val="Heading1"/>
      </w:pPr>
      <w:r>
        <w:t>15. Runtime Separation Rule</w:t>
      </w:r>
    </w:p>
    <w:p>
      <w:pPr>
        <w:spacing w:before="0" w:after="120" w:line="276" w:lineRule="auto"/>
      </w:pPr>
      <w:r>
        <w:rPr>
          <w:rFonts w:ascii="Calibri" w:hAnsi="Calibri"/>
          <w:b w:val="0"/>
          <w:i w:val="0"/>
          <w:color w:val="111827"/>
          <w:sz w:val="22"/>
        </w:rPr>
        <w:t>The Operating Specification Standard MUST remain portable and runtime-independent. A runtime MAY add optimization policy, execution bindings, tenancy metadata, simulation data, or marketplace packaging metadata, but it MUST preserve the underlying portable semantics of the specification.</w:t>
      </w:r>
    </w:p>
    <w:p>
      <w:pPr>
        <w:spacing w:before="0" w:after="120" w:line="276" w:lineRule="auto"/>
      </w:pPr>
      <w:r>
        <w:rPr>
          <w:rFonts w:ascii="Calibri" w:hAnsi="Calibri"/>
          <w:b w:val="0"/>
          <w:i w:val="0"/>
          <w:color w:val="111827"/>
          <w:sz w:val="22"/>
        </w:rPr>
        <w:t>This is the rule that makes the standard useful to the market. Aegora Runtime can be one trusted execution foundation for Operating Paths, but the package itself must remain portable enough for external authoring tools, registries, marketplaces, and compatible runtimes to exist around it.</w:t>
      </w:r>
    </w:p>
    <w:p>
      <w:pPr>
        <w:pStyle w:val="Heading1"/>
      </w:pPr>
      <w:r>
        <w:t>16. Conformance Classes</w:t>
      </w:r>
    </w:p>
    <w:tbl>
      <w:tblPr>
        <w:tblStyle w:val="TableGrid"/>
        <w:tblW w:type="dxa" w:w="9360"/>
        <w:jc w:val="left"/>
        <w:tblLook w:firstColumn="1" w:firstRow="1" w:lastColumn="0" w:lastRow="0" w:noHBand="0" w:noVBand="1" w:val="04A0"/>
        <w:tblInd w:type="dxa" w:w="120"/>
      </w:tblPr>
      <w:tblGrid>
        <w:gridCol w:w="2200"/>
        <w:gridCol w:w="2600"/>
        <w:gridCol w:w="4560"/>
      </w:tblGrid>
      <w:tr>
        <w:tc>
          <w:tcPr>
            <w:tcW w:type="dxa" w:w="2200"/>
            <w:shd w:fill="F3F4F6"/>
            <w:vAlign w:val="center"/>
            <w:tcMar>
              <w:top w:w="80" w:type="dxa"/>
              <w:bottom w:w="80" w:type="dxa"/>
              <w:start w:w="120" w:type="dxa"/>
              <w:end w:w="120" w:type="dxa"/>
            </w:tcMar>
          </w:tcPr>
          <w:p>
            <w:pPr>
              <w:spacing w:before="0" w:after="40" w:line="264" w:lineRule="auto"/>
              <w:jc w:val="left"/>
            </w:pPr>
            <w:r/>
            <w:r>
              <w:rPr>
                <w:rFonts w:ascii="Calibri" w:hAnsi="Calibri"/>
                <w:b/>
                <w:i w:val="0"/>
                <w:color w:val="111827"/>
                <w:sz w:val="21"/>
              </w:rPr>
              <w:t>Class</w:t>
            </w:r>
          </w:p>
        </w:tc>
        <w:tc>
          <w:tcPr>
            <w:tcW w:type="dxa" w:w="2600"/>
            <w:shd w:fill="F3F4F6"/>
            <w:vAlign w:val="center"/>
            <w:tcMar>
              <w:top w:w="80" w:type="dxa"/>
              <w:bottom w:w="80" w:type="dxa"/>
              <w:start w:w="120" w:type="dxa"/>
              <w:end w:w="120" w:type="dxa"/>
            </w:tcMar>
          </w:tcPr>
          <w:p>
            <w:pPr>
              <w:spacing w:before="0" w:after="40" w:line="264" w:lineRule="auto"/>
              <w:jc w:val="left"/>
            </w:pPr>
            <w:r/>
            <w:r>
              <w:rPr>
                <w:rFonts w:ascii="Calibri" w:hAnsi="Calibri"/>
                <w:b/>
                <w:i w:val="0"/>
                <w:color w:val="111827"/>
                <w:sz w:val="21"/>
              </w:rPr>
              <w:t>Who it fits</w:t>
            </w:r>
          </w:p>
        </w:tc>
        <w:tc>
          <w:tcPr>
            <w:tcW w:type="dxa" w:w="4560"/>
            <w:shd w:fill="F3F4F6"/>
            <w:vAlign w:val="center"/>
            <w:tcMar>
              <w:top w:w="80" w:type="dxa"/>
              <w:bottom w:w="80" w:type="dxa"/>
              <w:start w:w="120" w:type="dxa"/>
              <w:end w:w="120" w:type="dxa"/>
            </w:tcMar>
          </w:tcPr>
          <w:p>
            <w:pPr>
              <w:spacing w:before="0" w:after="40" w:line="264" w:lineRule="auto"/>
              <w:jc w:val="left"/>
            </w:pPr>
            <w:r/>
            <w:r>
              <w:rPr>
                <w:rFonts w:ascii="Calibri" w:hAnsi="Calibri"/>
                <w:b/>
                <w:i w:val="0"/>
                <w:color w:val="111827"/>
                <w:sz w:val="21"/>
              </w:rPr>
              <w:t>Minimum expectation</w:t>
            </w:r>
          </w:p>
        </w:tc>
      </w:tr>
      <w:tr>
        <w:tc>
          <w:tcPr>
            <w:tcW w:type="dxa" w:w="2200"/>
            <w:vAlign w:val="center"/>
            <w:tcMar>
              <w:top w:w="80" w:type="dxa"/>
              <w:bottom w:w="80" w:type="dxa"/>
              <w:start w:w="120" w:type="dxa"/>
              <w:end w:w="120" w:type="dxa"/>
            </w:tcMar>
          </w:tcPr>
          <w:p>
            <w:pPr>
              <w:spacing w:before="0" w:after="40" w:line="264" w:lineRule="auto"/>
              <w:jc w:val="left"/>
            </w:pPr>
            <w:r/>
            <w:r>
              <w:rPr>
                <w:rFonts w:ascii="Calibri" w:hAnsi="Calibri"/>
                <w:b w:val="0"/>
                <w:i w:val="0"/>
                <w:color w:val="111827"/>
                <w:sz w:val="21"/>
              </w:rPr>
              <w:t>Authoring Conformance</w:t>
            </w:r>
          </w:p>
        </w:tc>
        <w:tc>
          <w:tcPr>
            <w:tcW w:type="dxa" w:w="2600"/>
            <w:vAlign w:val="center"/>
            <w:tcMar>
              <w:top w:w="80" w:type="dxa"/>
              <w:bottom w:w="80" w:type="dxa"/>
              <w:start w:w="120" w:type="dxa"/>
              <w:end w:w="120" w:type="dxa"/>
            </w:tcMar>
          </w:tcPr>
          <w:p>
            <w:pPr>
              <w:spacing w:before="0" w:after="40" w:line="264" w:lineRule="auto"/>
              <w:jc w:val="left"/>
            </w:pPr>
            <w:r/>
            <w:r>
              <w:rPr>
                <w:rFonts w:ascii="Calibri" w:hAnsi="Calibri"/>
                <w:b w:val="0"/>
                <w:i w:val="0"/>
                <w:color w:val="111827"/>
                <w:sz w:val="21"/>
              </w:rPr>
              <w:t>Developers and enterprises</w:t>
            </w:r>
          </w:p>
        </w:tc>
        <w:tc>
          <w:tcPr>
            <w:tcW w:type="dxa" w:w="4560"/>
            <w:vAlign w:val="center"/>
            <w:tcMar>
              <w:top w:w="80" w:type="dxa"/>
              <w:bottom w:w="80" w:type="dxa"/>
              <w:start w:w="120" w:type="dxa"/>
              <w:end w:w="120" w:type="dxa"/>
            </w:tcMar>
          </w:tcPr>
          <w:p>
            <w:pPr>
              <w:spacing w:before="0" w:after="40" w:line="264" w:lineRule="auto"/>
              <w:jc w:val="left"/>
            </w:pPr>
            <w:r/>
            <w:r>
              <w:rPr>
                <w:rFonts w:ascii="Calibri" w:hAnsi="Calibri"/>
                <w:b w:val="0"/>
                <w:i w:val="0"/>
                <w:color w:val="111827"/>
                <w:sz w:val="21"/>
              </w:rPr>
              <w:t>Can create valid, versioned Operating Packages using the standard model and required sections.</w:t>
            </w:r>
          </w:p>
        </w:tc>
      </w:tr>
      <w:tr>
        <w:tc>
          <w:tcPr>
            <w:tcW w:type="dxa" w:w="2200"/>
            <w:vAlign w:val="center"/>
            <w:tcMar>
              <w:top w:w="80" w:type="dxa"/>
              <w:bottom w:w="80" w:type="dxa"/>
              <w:start w:w="120" w:type="dxa"/>
              <w:end w:w="120" w:type="dxa"/>
            </w:tcMar>
          </w:tcPr>
          <w:p>
            <w:pPr>
              <w:spacing w:before="0" w:after="40" w:line="264" w:lineRule="auto"/>
              <w:jc w:val="left"/>
            </w:pPr>
            <w:r/>
            <w:r>
              <w:rPr>
                <w:rFonts w:ascii="Calibri" w:hAnsi="Calibri"/>
                <w:b w:val="0"/>
                <w:i w:val="0"/>
                <w:color w:val="111827"/>
                <w:sz w:val="21"/>
              </w:rPr>
              <w:t>Validation Conformance</w:t>
            </w:r>
          </w:p>
        </w:tc>
        <w:tc>
          <w:tcPr>
            <w:tcW w:type="dxa" w:w="2600"/>
            <w:vAlign w:val="center"/>
            <w:tcMar>
              <w:top w:w="80" w:type="dxa"/>
              <w:bottom w:w="80" w:type="dxa"/>
              <w:start w:w="120" w:type="dxa"/>
              <w:end w:w="120" w:type="dxa"/>
            </w:tcMar>
          </w:tcPr>
          <w:p>
            <w:pPr>
              <w:spacing w:before="0" w:after="40" w:line="264" w:lineRule="auto"/>
              <w:jc w:val="left"/>
            </w:pPr>
            <w:r/>
            <w:r>
              <w:rPr>
                <w:rFonts w:ascii="Calibri" w:hAnsi="Calibri"/>
                <w:b w:val="0"/>
                <w:i w:val="0"/>
                <w:color w:val="111827"/>
                <w:sz w:val="21"/>
              </w:rPr>
              <w:t>Tooling and registries</w:t>
            </w:r>
          </w:p>
        </w:tc>
        <w:tc>
          <w:tcPr>
            <w:tcW w:type="dxa" w:w="4560"/>
            <w:vAlign w:val="center"/>
            <w:tcMar>
              <w:top w:w="80" w:type="dxa"/>
              <w:bottom w:w="80" w:type="dxa"/>
              <w:start w:w="120" w:type="dxa"/>
              <w:end w:w="120" w:type="dxa"/>
            </w:tcMar>
          </w:tcPr>
          <w:p>
            <w:pPr>
              <w:spacing w:before="0" w:after="40" w:line="264" w:lineRule="auto"/>
              <w:jc w:val="left"/>
            </w:pPr>
            <w:r/>
            <w:r>
              <w:rPr>
                <w:rFonts w:ascii="Calibri" w:hAnsi="Calibri"/>
                <w:b w:val="0"/>
                <w:i w:val="0"/>
                <w:color w:val="111827"/>
                <w:sz w:val="21"/>
              </w:rPr>
              <w:t>Can parse, validate, lint, version-check, and report conformance issues against structural and semantic rules.</w:t>
            </w:r>
          </w:p>
        </w:tc>
      </w:tr>
      <w:tr>
        <w:tc>
          <w:tcPr>
            <w:tcW w:type="dxa" w:w="2200"/>
            <w:vAlign w:val="center"/>
            <w:tcMar>
              <w:top w:w="80" w:type="dxa"/>
              <w:bottom w:w="80" w:type="dxa"/>
              <w:start w:w="120" w:type="dxa"/>
              <w:end w:w="120" w:type="dxa"/>
            </w:tcMar>
          </w:tcPr>
          <w:p>
            <w:pPr>
              <w:spacing w:before="0" w:after="40" w:line="264" w:lineRule="auto"/>
              <w:jc w:val="left"/>
            </w:pPr>
            <w:r/>
            <w:r>
              <w:rPr>
                <w:rFonts w:ascii="Calibri" w:hAnsi="Calibri"/>
                <w:b w:val="0"/>
                <w:i w:val="0"/>
                <w:color w:val="111827"/>
                <w:sz w:val="21"/>
              </w:rPr>
              <w:t>Runtime Conformance</w:t>
            </w:r>
          </w:p>
        </w:tc>
        <w:tc>
          <w:tcPr>
            <w:tcW w:type="dxa" w:w="2600"/>
            <w:vAlign w:val="center"/>
            <w:tcMar>
              <w:top w:w="80" w:type="dxa"/>
              <w:bottom w:w="80" w:type="dxa"/>
              <w:start w:w="120" w:type="dxa"/>
              <w:end w:w="120" w:type="dxa"/>
            </w:tcMar>
          </w:tcPr>
          <w:p>
            <w:pPr>
              <w:spacing w:before="0" w:after="40" w:line="264" w:lineRule="auto"/>
              <w:jc w:val="left"/>
            </w:pPr>
            <w:r/>
            <w:r>
              <w:rPr>
                <w:rFonts w:ascii="Calibri" w:hAnsi="Calibri"/>
                <w:b w:val="0"/>
                <w:i w:val="0"/>
                <w:color w:val="111827"/>
                <w:sz w:val="21"/>
              </w:rPr>
              <w:t>Runtimes and orchestration platforms</w:t>
            </w:r>
          </w:p>
        </w:tc>
        <w:tc>
          <w:tcPr>
            <w:tcW w:type="dxa" w:w="4560"/>
            <w:vAlign w:val="center"/>
            <w:tcMar>
              <w:top w:w="80" w:type="dxa"/>
              <w:bottom w:w="80" w:type="dxa"/>
              <w:start w:w="120" w:type="dxa"/>
              <w:end w:w="120" w:type="dxa"/>
            </w:tcMar>
          </w:tcPr>
          <w:p>
            <w:pPr>
              <w:spacing w:before="0" w:after="40" w:line="264" w:lineRule="auto"/>
              <w:jc w:val="left"/>
            </w:pPr>
            <w:r/>
            <w:r>
              <w:rPr>
                <w:rFonts w:ascii="Calibri" w:hAnsi="Calibri"/>
                <w:b w:val="0"/>
                <w:i w:val="0"/>
                <w:color w:val="111827"/>
                <w:sz w:val="21"/>
              </w:rPr>
              <w:t>Can execute paths without bypassing decision, governance, evidence, and outcome validation requirements.</w:t>
            </w:r>
          </w:p>
        </w:tc>
      </w:tr>
      <w:tr>
        <w:tc>
          <w:tcPr>
            <w:tcW w:type="dxa" w:w="2200"/>
            <w:vAlign w:val="center"/>
            <w:tcMar>
              <w:top w:w="80" w:type="dxa"/>
              <w:bottom w:w="80" w:type="dxa"/>
              <w:start w:w="120" w:type="dxa"/>
              <w:end w:w="120" w:type="dxa"/>
            </w:tcMar>
          </w:tcPr>
          <w:p>
            <w:pPr>
              <w:spacing w:before="0" w:after="40" w:line="264" w:lineRule="auto"/>
              <w:jc w:val="left"/>
            </w:pPr>
            <w:r/>
            <w:r>
              <w:rPr>
                <w:rFonts w:ascii="Calibri" w:hAnsi="Calibri"/>
                <w:b w:val="0"/>
                <w:i w:val="0"/>
                <w:color w:val="111827"/>
                <w:sz w:val="21"/>
              </w:rPr>
              <w:t>Interoperability Conformance</w:t>
            </w:r>
          </w:p>
        </w:tc>
        <w:tc>
          <w:tcPr>
            <w:tcW w:type="dxa" w:w="2600"/>
            <w:vAlign w:val="center"/>
            <w:tcMar>
              <w:top w:w="80" w:type="dxa"/>
              <w:bottom w:w="80" w:type="dxa"/>
              <w:start w:w="120" w:type="dxa"/>
              <w:end w:w="120" w:type="dxa"/>
            </w:tcMar>
          </w:tcPr>
          <w:p>
            <w:pPr>
              <w:spacing w:before="0" w:after="40" w:line="264" w:lineRule="auto"/>
              <w:jc w:val="left"/>
            </w:pPr>
            <w:r/>
            <w:r>
              <w:rPr>
                <w:rFonts w:ascii="Calibri" w:hAnsi="Calibri"/>
                <w:b w:val="0"/>
                <w:i w:val="0"/>
                <w:color w:val="111827"/>
                <w:sz w:val="21"/>
              </w:rPr>
              <w:t>Marketplaces, exchanges, and partner products</w:t>
            </w:r>
          </w:p>
        </w:tc>
        <w:tc>
          <w:tcPr>
            <w:tcW w:type="dxa" w:w="4560"/>
            <w:vAlign w:val="center"/>
            <w:tcMar>
              <w:top w:w="80" w:type="dxa"/>
              <w:bottom w:w="80" w:type="dxa"/>
              <w:start w:w="120" w:type="dxa"/>
              <w:end w:w="120" w:type="dxa"/>
            </w:tcMar>
          </w:tcPr>
          <w:p>
            <w:pPr>
              <w:spacing w:before="0" w:after="40" w:line="264" w:lineRule="auto"/>
              <w:jc w:val="left"/>
            </w:pPr>
            <w:r/>
            <w:r>
              <w:rPr>
                <w:rFonts w:ascii="Calibri" w:hAnsi="Calibri"/>
                <w:b w:val="0"/>
                <w:i w:val="0"/>
                <w:color w:val="111827"/>
                <w:sz w:val="21"/>
              </w:rPr>
              <w:t>Can import, export, package, fork, and preserve standard semantics across tenant and vendor boundaries.</w:t>
            </w:r>
          </w:p>
        </w:tc>
      </w:tr>
    </w:tbl>
    <w:p>
      <w:pPr>
        <w:pStyle w:val="Heading1"/>
      </w:pPr>
      <w:r>
        <w:t>17. Versioning and Lifecycle</w:t>
      </w:r>
    </w:p>
    <w:tbl>
      <w:tblPr>
        <w:tblStyle w:val="TableGrid"/>
        <w:tblW w:type="dxa" w:w="9360"/>
        <w:jc w:val="left"/>
        <w:tblLook w:firstColumn="1" w:firstRow="1" w:lastColumn="0" w:lastRow="0" w:noHBand="0" w:noVBand="1" w:val="04A0"/>
        <w:tblInd w:type="dxa" w:w="120"/>
      </w:tblPr>
      <w:tblGrid>
        <w:gridCol w:w="2200"/>
        <w:gridCol w:w="7160"/>
      </w:tblGrid>
      <w:tr>
        <w:tc>
          <w:tcPr>
            <w:tcW w:type="dxa" w:w="2200"/>
            <w:shd w:fill="F3F4F6"/>
            <w:vAlign w:val="center"/>
            <w:tcMar>
              <w:top w:w="80" w:type="dxa"/>
              <w:bottom w:w="80" w:type="dxa"/>
              <w:start w:w="120" w:type="dxa"/>
              <w:end w:w="120" w:type="dxa"/>
            </w:tcMar>
          </w:tcPr>
          <w:p>
            <w:pPr>
              <w:spacing w:before="0" w:after="40" w:line="264" w:lineRule="auto"/>
              <w:jc w:val="left"/>
            </w:pPr>
            <w:r/>
            <w:r>
              <w:rPr>
                <w:rFonts w:ascii="Calibri" w:hAnsi="Calibri"/>
                <w:b/>
                <w:i w:val="0"/>
                <w:color w:val="111827"/>
                <w:sz w:val="21"/>
              </w:rPr>
              <w:t>Lifecycle state</w:t>
            </w:r>
          </w:p>
        </w:tc>
        <w:tc>
          <w:tcPr>
            <w:tcW w:type="dxa" w:w="7160"/>
            <w:shd w:fill="F3F4F6"/>
            <w:vAlign w:val="center"/>
            <w:tcMar>
              <w:top w:w="80" w:type="dxa"/>
              <w:bottom w:w="80" w:type="dxa"/>
              <w:start w:w="120" w:type="dxa"/>
              <w:end w:w="120" w:type="dxa"/>
            </w:tcMar>
          </w:tcPr>
          <w:p>
            <w:pPr>
              <w:spacing w:before="0" w:after="40" w:line="264" w:lineRule="auto"/>
              <w:jc w:val="left"/>
            </w:pPr>
            <w:r/>
            <w:r>
              <w:rPr>
                <w:rFonts w:ascii="Calibri" w:hAnsi="Calibri"/>
                <w:b/>
                <w:i w:val="0"/>
                <w:color w:val="111827"/>
                <w:sz w:val="21"/>
              </w:rPr>
              <w:t>Meaning</w:t>
            </w:r>
          </w:p>
        </w:tc>
      </w:tr>
      <w:tr>
        <w:tc>
          <w:tcPr>
            <w:tcW w:type="dxa" w:w="2200"/>
            <w:vAlign w:val="center"/>
            <w:tcMar>
              <w:top w:w="80" w:type="dxa"/>
              <w:bottom w:w="80" w:type="dxa"/>
              <w:start w:w="120" w:type="dxa"/>
              <w:end w:w="120" w:type="dxa"/>
            </w:tcMar>
          </w:tcPr>
          <w:p>
            <w:pPr>
              <w:spacing w:before="0" w:after="40" w:line="264" w:lineRule="auto"/>
              <w:jc w:val="left"/>
            </w:pPr>
            <w:r/>
            <w:r>
              <w:rPr>
                <w:rFonts w:ascii="Calibri" w:hAnsi="Calibri"/>
                <w:b w:val="0"/>
                <w:i w:val="0"/>
                <w:color w:val="111827"/>
                <w:sz w:val="21"/>
              </w:rPr>
              <w:t>Draft</w:t>
            </w:r>
          </w:p>
        </w:tc>
        <w:tc>
          <w:tcPr>
            <w:tcW w:type="dxa" w:w="7160"/>
            <w:vAlign w:val="center"/>
            <w:tcMar>
              <w:top w:w="80" w:type="dxa"/>
              <w:bottom w:w="80" w:type="dxa"/>
              <w:start w:w="120" w:type="dxa"/>
              <w:end w:w="120" w:type="dxa"/>
            </w:tcMar>
          </w:tcPr>
          <w:p>
            <w:pPr>
              <w:spacing w:before="0" w:after="40" w:line="264" w:lineRule="auto"/>
              <w:jc w:val="left"/>
            </w:pPr>
            <w:r/>
            <w:r>
              <w:rPr>
                <w:rFonts w:ascii="Calibri" w:hAnsi="Calibri"/>
                <w:b w:val="0"/>
                <w:i w:val="0"/>
                <w:color w:val="111827"/>
                <w:sz w:val="21"/>
              </w:rPr>
              <w:t>Actively authored and subject to change.</w:t>
            </w:r>
          </w:p>
        </w:tc>
      </w:tr>
      <w:tr>
        <w:tc>
          <w:tcPr>
            <w:tcW w:type="dxa" w:w="2200"/>
            <w:vAlign w:val="center"/>
            <w:tcMar>
              <w:top w:w="80" w:type="dxa"/>
              <w:bottom w:w="80" w:type="dxa"/>
              <w:start w:w="120" w:type="dxa"/>
              <w:end w:w="120" w:type="dxa"/>
            </w:tcMar>
          </w:tcPr>
          <w:p>
            <w:pPr>
              <w:spacing w:before="0" w:after="40" w:line="264" w:lineRule="auto"/>
              <w:jc w:val="left"/>
            </w:pPr>
            <w:r/>
            <w:r>
              <w:rPr>
                <w:rFonts w:ascii="Calibri" w:hAnsi="Calibri"/>
                <w:b w:val="0"/>
                <w:i w:val="0"/>
                <w:color w:val="111827"/>
                <w:sz w:val="21"/>
              </w:rPr>
              <w:t>Review</w:t>
            </w:r>
          </w:p>
        </w:tc>
        <w:tc>
          <w:tcPr>
            <w:tcW w:type="dxa" w:w="7160"/>
            <w:vAlign w:val="center"/>
            <w:tcMar>
              <w:top w:w="80" w:type="dxa"/>
              <w:bottom w:w="80" w:type="dxa"/>
              <w:start w:w="120" w:type="dxa"/>
              <w:end w:w="120" w:type="dxa"/>
            </w:tcMar>
          </w:tcPr>
          <w:p>
            <w:pPr>
              <w:spacing w:before="0" w:after="40" w:line="264" w:lineRule="auto"/>
              <w:jc w:val="left"/>
            </w:pPr>
            <w:r/>
            <w:r>
              <w:rPr>
                <w:rFonts w:ascii="Calibri" w:hAnsi="Calibri"/>
                <w:b w:val="0"/>
                <w:i w:val="0"/>
                <w:color w:val="111827"/>
                <w:sz w:val="21"/>
              </w:rPr>
              <w:t>Under design, governance, technical, or standards review.</w:t>
            </w:r>
          </w:p>
        </w:tc>
      </w:tr>
      <w:tr>
        <w:tc>
          <w:tcPr>
            <w:tcW w:type="dxa" w:w="2200"/>
            <w:vAlign w:val="center"/>
            <w:tcMar>
              <w:top w:w="80" w:type="dxa"/>
              <w:bottom w:w="80" w:type="dxa"/>
              <w:start w:w="120" w:type="dxa"/>
              <w:end w:w="120" w:type="dxa"/>
            </w:tcMar>
          </w:tcPr>
          <w:p>
            <w:pPr>
              <w:spacing w:before="0" w:after="40" w:line="264" w:lineRule="auto"/>
              <w:jc w:val="left"/>
            </w:pPr>
            <w:r/>
            <w:r>
              <w:rPr>
                <w:rFonts w:ascii="Calibri" w:hAnsi="Calibri"/>
                <w:b w:val="0"/>
                <w:i w:val="0"/>
                <w:color w:val="111827"/>
                <w:sz w:val="21"/>
              </w:rPr>
              <w:t>Approved</w:t>
            </w:r>
          </w:p>
        </w:tc>
        <w:tc>
          <w:tcPr>
            <w:tcW w:type="dxa" w:w="7160"/>
            <w:vAlign w:val="center"/>
            <w:tcMar>
              <w:top w:w="80" w:type="dxa"/>
              <w:bottom w:w="80" w:type="dxa"/>
              <w:start w:w="120" w:type="dxa"/>
              <w:end w:w="120" w:type="dxa"/>
            </w:tcMar>
          </w:tcPr>
          <w:p>
            <w:pPr>
              <w:spacing w:before="0" w:after="40" w:line="264" w:lineRule="auto"/>
              <w:jc w:val="left"/>
            </w:pPr>
            <w:r/>
            <w:r>
              <w:rPr>
                <w:rFonts w:ascii="Calibri" w:hAnsi="Calibri"/>
                <w:b w:val="0"/>
                <w:i w:val="0"/>
                <w:color w:val="111827"/>
                <w:sz w:val="21"/>
              </w:rPr>
              <w:t>Accepted for production use or published reference.</w:t>
            </w:r>
          </w:p>
        </w:tc>
      </w:tr>
      <w:tr>
        <w:tc>
          <w:tcPr>
            <w:tcW w:type="dxa" w:w="2200"/>
            <w:vAlign w:val="center"/>
            <w:tcMar>
              <w:top w:w="80" w:type="dxa"/>
              <w:bottom w:w="80" w:type="dxa"/>
              <w:start w:w="120" w:type="dxa"/>
              <w:end w:w="120" w:type="dxa"/>
            </w:tcMar>
          </w:tcPr>
          <w:p>
            <w:pPr>
              <w:spacing w:before="0" w:after="40" w:line="264" w:lineRule="auto"/>
              <w:jc w:val="left"/>
            </w:pPr>
            <w:r/>
            <w:r>
              <w:rPr>
                <w:rFonts w:ascii="Calibri" w:hAnsi="Calibri"/>
                <w:b w:val="0"/>
                <w:i w:val="0"/>
                <w:color w:val="111827"/>
                <w:sz w:val="21"/>
              </w:rPr>
              <w:t>Active</w:t>
            </w:r>
          </w:p>
        </w:tc>
        <w:tc>
          <w:tcPr>
            <w:tcW w:type="dxa" w:w="7160"/>
            <w:vAlign w:val="center"/>
            <w:tcMar>
              <w:top w:w="80" w:type="dxa"/>
              <w:bottom w:w="80" w:type="dxa"/>
              <w:start w:w="120" w:type="dxa"/>
              <w:end w:w="120" w:type="dxa"/>
            </w:tcMar>
          </w:tcPr>
          <w:p>
            <w:pPr>
              <w:spacing w:before="0" w:after="40" w:line="264" w:lineRule="auto"/>
              <w:jc w:val="left"/>
            </w:pPr>
            <w:r/>
            <w:r>
              <w:rPr>
                <w:rFonts w:ascii="Calibri" w:hAnsi="Calibri"/>
                <w:b w:val="0"/>
                <w:i w:val="0"/>
                <w:color w:val="111827"/>
                <w:sz w:val="21"/>
              </w:rPr>
              <w:t>Current recommended version for new use.</w:t>
            </w:r>
          </w:p>
        </w:tc>
      </w:tr>
      <w:tr>
        <w:tc>
          <w:tcPr>
            <w:tcW w:type="dxa" w:w="2200"/>
            <w:vAlign w:val="center"/>
            <w:tcMar>
              <w:top w:w="80" w:type="dxa"/>
              <w:bottom w:w="80" w:type="dxa"/>
              <w:start w:w="120" w:type="dxa"/>
              <w:end w:w="120" w:type="dxa"/>
            </w:tcMar>
          </w:tcPr>
          <w:p>
            <w:pPr>
              <w:spacing w:before="0" w:after="40" w:line="264" w:lineRule="auto"/>
              <w:jc w:val="left"/>
            </w:pPr>
            <w:r/>
            <w:r>
              <w:rPr>
                <w:rFonts w:ascii="Calibri" w:hAnsi="Calibri"/>
                <w:b w:val="0"/>
                <w:i w:val="0"/>
                <w:color w:val="111827"/>
                <w:sz w:val="21"/>
              </w:rPr>
              <w:t>Superseded</w:t>
            </w:r>
          </w:p>
        </w:tc>
        <w:tc>
          <w:tcPr>
            <w:tcW w:type="dxa" w:w="7160"/>
            <w:vAlign w:val="center"/>
            <w:tcMar>
              <w:top w:w="80" w:type="dxa"/>
              <w:bottom w:w="80" w:type="dxa"/>
              <w:start w:w="120" w:type="dxa"/>
              <w:end w:w="120" w:type="dxa"/>
            </w:tcMar>
          </w:tcPr>
          <w:p>
            <w:pPr>
              <w:spacing w:before="0" w:after="40" w:line="264" w:lineRule="auto"/>
              <w:jc w:val="left"/>
            </w:pPr>
            <w:r/>
            <w:r>
              <w:rPr>
                <w:rFonts w:ascii="Calibri" w:hAnsi="Calibri"/>
                <w:b w:val="0"/>
                <w:i w:val="0"/>
                <w:color w:val="111827"/>
                <w:sz w:val="21"/>
              </w:rPr>
              <w:t>Replaced by a newer approved version but retained for history.</w:t>
            </w:r>
          </w:p>
        </w:tc>
      </w:tr>
      <w:tr>
        <w:tc>
          <w:tcPr>
            <w:tcW w:type="dxa" w:w="2200"/>
            <w:vAlign w:val="center"/>
            <w:tcMar>
              <w:top w:w="80" w:type="dxa"/>
              <w:bottom w:w="80" w:type="dxa"/>
              <w:start w:w="120" w:type="dxa"/>
              <w:end w:w="120" w:type="dxa"/>
            </w:tcMar>
          </w:tcPr>
          <w:p>
            <w:pPr>
              <w:spacing w:before="0" w:after="40" w:line="264" w:lineRule="auto"/>
              <w:jc w:val="left"/>
            </w:pPr>
            <w:r/>
            <w:r>
              <w:rPr>
                <w:rFonts w:ascii="Calibri" w:hAnsi="Calibri"/>
                <w:b w:val="0"/>
                <w:i w:val="0"/>
                <w:color w:val="111827"/>
                <w:sz w:val="21"/>
              </w:rPr>
              <w:t>Retired</w:t>
            </w:r>
          </w:p>
        </w:tc>
        <w:tc>
          <w:tcPr>
            <w:tcW w:type="dxa" w:w="7160"/>
            <w:vAlign w:val="center"/>
            <w:tcMar>
              <w:top w:w="80" w:type="dxa"/>
              <w:bottom w:w="80" w:type="dxa"/>
              <w:start w:w="120" w:type="dxa"/>
              <w:end w:w="120" w:type="dxa"/>
            </w:tcMar>
          </w:tcPr>
          <w:p>
            <w:pPr>
              <w:spacing w:before="0" w:after="40" w:line="264" w:lineRule="auto"/>
              <w:jc w:val="left"/>
            </w:pPr>
            <w:r/>
            <w:r>
              <w:rPr>
                <w:rFonts w:ascii="Calibri" w:hAnsi="Calibri"/>
                <w:b w:val="0"/>
                <w:i w:val="0"/>
                <w:color w:val="111827"/>
                <w:sz w:val="21"/>
              </w:rPr>
              <w:t>No longer recommended for new use; historical references preserved.</w:t>
            </w:r>
          </w:p>
        </w:tc>
      </w:tr>
    </w:tbl>
    <w:p>
      <w:pPr>
        <w:spacing w:before="0" w:after="120" w:line="276" w:lineRule="auto"/>
      </w:pPr>
      <w:r>
        <w:rPr>
          <w:rFonts w:ascii="Calibri" w:hAnsi="Calibri"/>
          <w:b w:val="0"/>
          <w:i w:val="0"/>
          <w:color w:val="111827"/>
          <w:sz w:val="22"/>
        </w:rPr>
        <w:t>A material semantic change to meaning, required sections, conformance rules, or canonical flow SHOULD increment a major or minor version according to committee policy.</w:t>
      </w:r>
    </w:p>
    <w:p>
      <w:pPr>
        <w:pStyle w:val="Heading1"/>
      </w:pPr>
      <w:r>
        <w:t>18. Reference Implementation Expectations</w:t>
      </w:r>
    </w:p>
    <w:p>
      <w:pPr>
        <w:spacing w:before="0" w:after="120" w:line="276" w:lineRule="auto"/>
      </w:pPr>
      <w:r>
        <w:rPr>
          <w:rFonts w:ascii="Calibri" w:hAnsi="Calibri"/>
          <w:b w:val="0"/>
          <w:i w:val="0"/>
          <w:color w:val="111827"/>
          <w:sz w:val="22"/>
        </w:rPr>
        <w:t>For this standard to become buildable by outsiders, the public release SHOULD be accompanied by a minimal reference implementation set.</w:t>
      </w:r>
    </w:p>
    <w:p>
      <w:pPr>
        <w:pStyle w:val="ListBullet"/>
        <w:spacing w:before="0" w:after="80" w:line="269" w:lineRule="auto"/>
      </w:pPr>
      <w:r>
        <w:rPr>
          <w:rFonts w:ascii="Calibri" w:hAnsi="Calibri"/>
          <w:b w:val="0"/>
          <w:i w:val="0"/>
          <w:color w:val="111827"/>
          <w:sz w:val="22"/>
        </w:rPr>
        <w:t>A published schema file for the primary document shape.</w:t>
      </w:r>
    </w:p>
    <w:p>
      <w:pPr>
        <w:pStyle w:val="ListBullet"/>
        <w:spacing w:before="0" w:after="80" w:line="269" w:lineRule="auto"/>
      </w:pPr>
      <w:r>
        <w:rPr>
          <w:rFonts w:ascii="Calibri" w:hAnsi="Calibri"/>
          <w:b w:val="0"/>
          <w:i w:val="0"/>
          <w:color w:val="111827"/>
          <w:sz w:val="22"/>
        </w:rPr>
        <w:t>At least two complete example packages from different domains.</w:t>
      </w:r>
    </w:p>
    <w:p>
      <w:pPr>
        <w:pStyle w:val="ListBullet"/>
        <w:spacing w:before="0" w:after="80" w:line="269" w:lineRule="auto"/>
      </w:pPr>
      <w:r>
        <w:rPr>
          <w:rFonts w:ascii="Calibri" w:hAnsi="Calibri"/>
          <w:b w:val="0"/>
          <w:i w:val="0"/>
          <w:color w:val="111827"/>
          <w:sz w:val="22"/>
        </w:rPr>
        <w:t>A validator CLI or validation service contract.</w:t>
      </w:r>
    </w:p>
    <w:p>
      <w:pPr>
        <w:pStyle w:val="ListBullet"/>
        <w:spacing w:before="0" w:after="80" w:line="269" w:lineRule="auto"/>
      </w:pPr>
      <w:r>
        <w:rPr>
          <w:rFonts w:ascii="Calibri" w:hAnsi="Calibri"/>
          <w:b w:val="0"/>
          <w:i w:val="0"/>
          <w:color w:val="111827"/>
          <w:sz w:val="22"/>
        </w:rPr>
        <w:t>A compatibility guide explaining supported versions and migration rules.</w:t>
      </w:r>
    </w:p>
    <w:p>
      <w:pPr>
        <w:pStyle w:val="ListBullet"/>
        <w:spacing w:before="0" w:after="80" w:line="269" w:lineRule="auto"/>
      </w:pPr>
      <w:r>
        <w:rPr>
          <w:rFonts w:ascii="Calibri" w:hAnsi="Calibri"/>
          <w:b w:val="0"/>
          <w:i w:val="0"/>
          <w:color w:val="111827"/>
          <w:sz w:val="22"/>
        </w:rPr>
        <w:t>A registry import/export contract or package manifest definition.</w:t>
      </w:r>
    </w:p>
    <w:p>
      <w:pPr>
        <w:pStyle w:val="ListBullet"/>
        <w:spacing w:before="0" w:after="80" w:line="269" w:lineRule="auto"/>
      </w:pPr>
      <w:r>
        <w:rPr>
          <w:rFonts w:ascii="Calibri" w:hAnsi="Calibri"/>
          <w:b w:val="0"/>
          <w:i w:val="0"/>
          <w:color w:val="111827"/>
          <w:sz w:val="22"/>
        </w:rPr>
        <w:t>A runtime binding guide describing how a conformant runtime maps package concepts to execution stages.</w:t>
      </w:r>
    </w:p>
    <w:p>
      <w:pPr>
        <w:pStyle w:val="Heading1"/>
      </w:pPr>
      <w:r>
        <w:t>19. Committee and Working Group Model</w:t>
      </w:r>
    </w:p>
    <w:p>
      <w:pPr>
        <w:spacing w:before="0" w:after="120" w:line="276" w:lineRule="auto"/>
      </w:pPr>
      <w:r>
        <w:rPr>
          <w:rFonts w:ascii="Calibri" w:hAnsi="Calibri"/>
          <w:b w:val="0"/>
          <w:i w:val="0"/>
          <w:color w:val="111827"/>
          <w:sz w:val="22"/>
        </w:rPr>
        <w:t>To become an industry standard rather than a single-company format, the Operating Specification Standard should be stewarded by a lightweight committee with public change control, versioned releases, and open comment periods.</w:t>
      </w:r>
    </w:p>
    <w:tbl>
      <w:tblPr>
        <w:tblStyle w:val="TableGrid"/>
        <w:tblW w:type="dxa" w:w="9360"/>
        <w:jc w:val="left"/>
        <w:tblLook w:firstColumn="1" w:firstRow="1" w:lastColumn="0" w:lastRow="0" w:noHBand="0" w:noVBand="1" w:val="04A0"/>
        <w:tblInd w:type="dxa" w:w="120"/>
      </w:tblPr>
      <w:tblGrid>
        <w:gridCol w:w="2200"/>
        <w:gridCol w:w="2600"/>
        <w:gridCol w:w="4560"/>
      </w:tblGrid>
      <w:tr>
        <w:tc>
          <w:tcPr>
            <w:tcW w:type="dxa" w:w="2200"/>
            <w:shd w:fill="F3F4F6"/>
            <w:vAlign w:val="center"/>
            <w:tcMar>
              <w:top w:w="80" w:type="dxa"/>
              <w:bottom w:w="80" w:type="dxa"/>
              <w:start w:w="120" w:type="dxa"/>
              <w:end w:w="120" w:type="dxa"/>
            </w:tcMar>
          </w:tcPr>
          <w:p>
            <w:pPr>
              <w:spacing w:before="0" w:after="40" w:line="264" w:lineRule="auto"/>
              <w:jc w:val="left"/>
            </w:pPr>
            <w:r/>
            <w:r>
              <w:rPr>
                <w:rFonts w:ascii="Calibri" w:hAnsi="Calibri"/>
                <w:b/>
                <w:i w:val="0"/>
                <w:color w:val="111827"/>
                <w:sz w:val="21"/>
              </w:rPr>
              <w:t>Committee function</w:t>
            </w:r>
          </w:p>
        </w:tc>
        <w:tc>
          <w:tcPr>
            <w:tcW w:type="dxa" w:w="2600"/>
            <w:shd w:fill="F3F4F6"/>
            <w:vAlign w:val="center"/>
            <w:tcMar>
              <w:top w:w="80" w:type="dxa"/>
              <w:bottom w:w="80" w:type="dxa"/>
              <w:start w:w="120" w:type="dxa"/>
              <w:end w:w="120" w:type="dxa"/>
            </w:tcMar>
          </w:tcPr>
          <w:p>
            <w:pPr>
              <w:spacing w:before="0" w:after="40" w:line="264" w:lineRule="auto"/>
              <w:jc w:val="left"/>
            </w:pPr>
            <w:r/>
            <w:r>
              <w:rPr>
                <w:rFonts w:ascii="Calibri" w:hAnsi="Calibri"/>
                <w:b/>
                <w:i w:val="0"/>
                <w:color w:val="111827"/>
                <w:sz w:val="21"/>
              </w:rPr>
              <w:t>Purpose</w:t>
            </w:r>
          </w:p>
        </w:tc>
        <w:tc>
          <w:tcPr>
            <w:tcW w:type="dxa" w:w="4560"/>
            <w:shd w:fill="F3F4F6"/>
            <w:vAlign w:val="center"/>
            <w:tcMar>
              <w:top w:w="80" w:type="dxa"/>
              <w:bottom w:w="80" w:type="dxa"/>
              <w:start w:w="120" w:type="dxa"/>
              <w:end w:w="120" w:type="dxa"/>
            </w:tcMar>
          </w:tcPr>
          <w:p>
            <w:pPr>
              <w:spacing w:before="0" w:after="40" w:line="264" w:lineRule="auto"/>
              <w:jc w:val="left"/>
            </w:pPr>
            <w:r/>
            <w:r>
              <w:rPr>
                <w:rFonts w:ascii="Calibri" w:hAnsi="Calibri"/>
                <w:b/>
                <w:i w:val="0"/>
                <w:color w:val="111827"/>
                <w:sz w:val="21"/>
              </w:rPr>
              <w:t>Suggested composition</w:t>
            </w:r>
          </w:p>
        </w:tc>
      </w:tr>
      <w:tr>
        <w:tc>
          <w:tcPr>
            <w:tcW w:type="dxa" w:w="2200"/>
            <w:vAlign w:val="center"/>
            <w:tcMar>
              <w:top w:w="80" w:type="dxa"/>
              <w:bottom w:w="80" w:type="dxa"/>
              <w:start w:w="120" w:type="dxa"/>
              <w:end w:w="120" w:type="dxa"/>
            </w:tcMar>
          </w:tcPr>
          <w:p>
            <w:pPr>
              <w:spacing w:before="0" w:after="40" w:line="264" w:lineRule="auto"/>
              <w:jc w:val="left"/>
            </w:pPr>
            <w:r/>
            <w:r>
              <w:rPr>
                <w:rFonts w:ascii="Calibri" w:hAnsi="Calibri"/>
                <w:b w:val="0"/>
                <w:i w:val="0"/>
                <w:color w:val="111827"/>
                <w:sz w:val="21"/>
              </w:rPr>
              <w:t>Steering group</w:t>
            </w:r>
          </w:p>
        </w:tc>
        <w:tc>
          <w:tcPr>
            <w:tcW w:type="dxa" w:w="2600"/>
            <w:vAlign w:val="center"/>
            <w:tcMar>
              <w:top w:w="80" w:type="dxa"/>
              <w:bottom w:w="80" w:type="dxa"/>
              <w:start w:w="120" w:type="dxa"/>
              <w:end w:w="120" w:type="dxa"/>
            </w:tcMar>
          </w:tcPr>
          <w:p>
            <w:pPr>
              <w:spacing w:before="0" w:after="40" w:line="264" w:lineRule="auto"/>
              <w:jc w:val="left"/>
            </w:pPr>
            <w:r/>
            <w:r>
              <w:rPr>
                <w:rFonts w:ascii="Calibri" w:hAnsi="Calibri"/>
                <w:b w:val="0"/>
                <w:i w:val="0"/>
                <w:color w:val="111827"/>
                <w:sz w:val="21"/>
              </w:rPr>
              <w:t>Owns charter, releases, scope, and dispute resolution</w:t>
            </w:r>
          </w:p>
        </w:tc>
        <w:tc>
          <w:tcPr>
            <w:tcW w:type="dxa" w:w="4560"/>
            <w:vAlign w:val="center"/>
            <w:tcMar>
              <w:top w:w="80" w:type="dxa"/>
              <w:bottom w:w="80" w:type="dxa"/>
              <w:start w:w="120" w:type="dxa"/>
              <w:end w:w="120" w:type="dxa"/>
            </w:tcMar>
          </w:tcPr>
          <w:p>
            <w:pPr>
              <w:spacing w:before="0" w:after="40" w:line="264" w:lineRule="auto"/>
              <w:jc w:val="left"/>
            </w:pPr>
            <w:r/>
            <w:r>
              <w:rPr>
                <w:rFonts w:ascii="Calibri" w:hAnsi="Calibri"/>
                <w:b w:val="0"/>
                <w:i w:val="0"/>
                <w:color w:val="111827"/>
                <w:sz w:val="21"/>
              </w:rPr>
              <w:t>Aegora maintainers plus external design partners over time</w:t>
            </w:r>
          </w:p>
        </w:tc>
      </w:tr>
      <w:tr>
        <w:tc>
          <w:tcPr>
            <w:tcW w:type="dxa" w:w="2200"/>
            <w:vAlign w:val="center"/>
            <w:tcMar>
              <w:top w:w="80" w:type="dxa"/>
              <w:bottom w:w="80" w:type="dxa"/>
              <w:start w:w="120" w:type="dxa"/>
              <w:end w:w="120" w:type="dxa"/>
            </w:tcMar>
          </w:tcPr>
          <w:p>
            <w:pPr>
              <w:spacing w:before="0" w:after="40" w:line="264" w:lineRule="auto"/>
              <w:jc w:val="left"/>
            </w:pPr>
            <w:r/>
            <w:r>
              <w:rPr>
                <w:rFonts w:ascii="Calibri" w:hAnsi="Calibri"/>
                <w:b w:val="0"/>
                <w:i w:val="0"/>
                <w:color w:val="111827"/>
                <w:sz w:val="21"/>
              </w:rPr>
              <w:t>Technical working group</w:t>
            </w:r>
          </w:p>
        </w:tc>
        <w:tc>
          <w:tcPr>
            <w:tcW w:type="dxa" w:w="2600"/>
            <w:vAlign w:val="center"/>
            <w:tcMar>
              <w:top w:w="80" w:type="dxa"/>
              <w:bottom w:w="80" w:type="dxa"/>
              <w:start w:w="120" w:type="dxa"/>
              <w:end w:w="120" w:type="dxa"/>
            </w:tcMar>
          </w:tcPr>
          <w:p>
            <w:pPr>
              <w:spacing w:before="0" w:after="40" w:line="264" w:lineRule="auto"/>
              <w:jc w:val="left"/>
            </w:pPr>
            <w:r/>
            <w:r>
              <w:rPr>
                <w:rFonts w:ascii="Calibri" w:hAnsi="Calibri"/>
                <w:b w:val="0"/>
                <w:i w:val="0"/>
                <w:color w:val="111827"/>
                <w:sz w:val="21"/>
              </w:rPr>
              <w:t>Maintains schema, conformance rules, examples, and compatibility notes</w:t>
            </w:r>
          </w:p>
        </w:tc>
        <w:tc>
          <w:tcPr>
            <w:tcW w:type="dxa" w:w="4560"/>
            <w:vAlign w:val="center"/>
            <w:tcMar>
              <w:top w:w="80" w:type="dxa"/>
              <w:bottom w:w="80" w:type="dxa"/>
              <w:start w:w="120" w:type="dxa"/>
              <w:end w:w="120" w:type="dxa"/>
            </w:tcMar>
          </w:tcPr>
          <w:p>
            <w:pPr>
              <w:spacing w:before="0" w:after="40" w:line="264" w:lineRule="auto"/>
              <w:jc w:val="left"/>
            </w:pPr>
            <w:r/>
            <w:r>
              <w:rPr>
                <w:rFonts w:ascii="Calibri" w:hAnsi="Calibri"/>
                <w:b w:val="0"/>
                <w:i w:val="0"/>
                <w:color w:val="111827"/>
                <w:sz w:val="21"/>
              </w:rPr>
              <w:t>Specification authors, runtime engineers, and integration leads</w:t>
            </w:r>
          </w:p>
        </w:tc>
      </w:tr>
      <w:tr>
        <w:tc>
          <w:tcPr>
            <w:tcW w:type="dxa" w:w="2200"/>
            <w:vAlign w:val="center"/>
            <w:tcMar>
              <w:top w:w="80" w:type="dxa"/>
              <w:bottom w:w="80" w:type="dxa"/>
              <w:start w:w="120" w:type="dxa"/>
              <w:end w:w="120" w:type="dxa"/>
            </w:tcMar>
          </w:tcPr>
          <w:p>
            <w:pPr>
              <w:spacing w:before="0" w:after="40" w:line="264" w:lineRule="auto"/>
              <w:jc w:val="left"/>
            </w:pPr>
            <w:r/>
            <w:r>
              <w:rPr>
                <w:rFonts w:ascii="Calibri" w:hAnsi="Calibri"/>
                <w:b w:val="0"/>
                <w:i w:val="0"/>
                <w:color w:val="111827"/>
                <w:sz w:val="21"/>
              </w:rPr>
              <w:t>Governance and assurance group</w:t>
            </w:r>
          </w:p>
        </w:tc>
        <w:tc>
          <w:tcPr>
            <w:tcW w:type="dxa" w:w="2600"/>
            <w:vAlign w:val="center"/>
            <w:tcMar>
              <w:top w:w="80" w:type="dxa"/>
              <w:bottom w:w="80" w:type="dxa"/>
              <w:start w:w="120" w:type="dxa"/>
              <w:end w:w="120" w:type="dxa"/>
            </w:tcMar>
          </w:tcPr>
          <w:p>
            <w:pPr>
              <w:spacing w:before="0" w:after="40" w:line="264" w:lineRule="auto"/>
              <w:jc w:val="left"/>
            </w:pPr>
            <w:r/>
            <w:r>
              <w:rPr>
                <w:rFonts w:ascii="Calibri" w:hAnsi="Calibri"/>
                <w:b w:val="0"/>
                <w:i w:val="0"/>
                <w:color w:val="111827"/>
                <w:sz w:val="21"/>
              </w:rPr>
              <w:t>Reviews policy, auditability, risk, and approval semantics</w:t>
            </w:r>
          </w:p>
        </w:tc>
        <w:tc>
          <w:tcPr>
            <w:tcW w:type="dxa" w:w="4560"/>
            <w:vAlign w:val="center"/>
            <w:tcMar>
              <w:top w:w="80" w:type="dxa"/>
              <w:bottom w:w="80" w:type="dxa"/>
              <w:start w:w="120" w:type="dxa"/>
              <w:end w:w="120" w:type="dxa"/>
            </w:tcMar>
          </w:tcPr>
          <w:p>
            <w:pPr>
              <w:spacing w:before="0" w:after="40" w:line="264" w:lineRule="auto"/>
              <w:jc w:val="left"/>
            </w:pPr>
            <w:r/>
            <w:r>
              <w:rPr>
                <w:rFonts w:ascii="Calibri" w:hAnsi="Calibri"/>
                <w:b w:val="0"/>
                <w:i w:val="0"/>
                <w:color w:val="111827"/>
                <w:sz w:val="21"/>
              </w:rPr>
              <w:t>Security, compliance, audit, and enterprise operations practitioners</w:t>
            </w:r>
          </w:p>
        </w:tc>
      </w:tr>
      <w:tr>
        <w:tc>
          <w:tcPr>
            <w:tcW w:type="dxa" w:w="2200"/>
            <w:vAlign w:val="center"/>
            <w:tcMar>
              <w:top w:w="80" w:type="dxa"/>
              <w:bottom w:w="80" w:type="dxa"/>
              <w:start w:w="120" w:type="dxa"/>
              <w:end w:w="120" w:type="dxa"/>
            </w:tcMar>
          </w:tcPr>
          <w:p>
            <w:pPr>
              <w:spacing w:before="0" w:after="40" w:line="264" w:lineRule="auto"/>
              <w:jc w:val="left"/>
            </w:pPr>
            <w:r/>
            <w:r>
              <w:rPr>
                <w:rFonts w:ascii="Calibri" w:hAnsi="Calibri"/>
                <w:b w:val="0"/>
                <w:i w:val="0"/>
                <w:color w:val="111827"/>
                <w:sz w:val="21"/>
              </w:rPr>
              <w:t>Ecosystem advisory group</w:t>
            </w:r>
          </w:p>
        </w:tc>
        <w:tc>
          <w:tcPr>
            <w:tcW w:type="dxa" w:w="2600"/>
            <w:vAlign w:val="center"/>
            <w:tcMar>
              <w:top w:w="80" w:type="dxa"/>
              <w:bottom w:w="80" w:type="dxa"/>
              <w:start w:w="120" w:type="dxa"/>
              <w:end w:w="120" w:type="dxa"/>
            </w:tcMar>
          </w:tcPr>
          <w:p>
            <w:pPr>
              <w:spacing w:before="0" w:after="40" w:line="264" w:lineRule="auto"/>
              <w:jc w:val="left"/>
            </w:pPr>
            <w:r/>
            <w:r>
              <w:rPr>
                <w:rFonts w:ascii="Calibri" w:hAnsi="Calibri"/>
                <w:b w:val="0"/>
                <w:i w:val="0"/>
                <w:color w:val="111827"/>
                <w:sz w:val="21"/>
              </w:rPr>
              <w:t>Represents adopters, service providers, and partner products</w:t>
            </w:r>
          </w:p>
        </w:tc>
        <w:tc>
          <w:tcPr>
            <w:tcW w:type="dxa" w:w="4560"/>
            <w:vAlign w:val="center"/>
            <w:tcMar>
              <w:top w:w="80" w:type="dxa"/>
              <w:bottom w:w="80" w:type="dxa"/>
              <w:start w:w="120" w:type="dxa"/>
              <w:end w:w="120" w:type="dxa"/>
            </w:tcMar>
          </w:tcPr>
          <w:p>
            <w:pPr>
              <w:spacing w:before="0" w:after="40" w:line="264" w:lineRule="auto"/>
              <w:jc w:val="left"/>
            </w:pPr>
            <w:r/>
            <w:r>
              <w:rPr>
                <w:rFonts w:ascii="Calibri" w:hAnsi="Calibri"/>
                <w:b w:val="0"/>
                <w:i w:val="0"/>
                <w:color w:val="111827"/>
                <w:sz w:val="21"/>
              </w:rPr>
              <w:t>Enterprises, MSPs, and integration vendors</w:t>
            </w:r>
          </w:p>
        </w:tc>
      </w:tr>
    </w:tbl>
    <w:p>
      <w:pPr>
        <w:pStyle w:val="Heading1"/>
      </w:pPr>
      <w:r>
        <w:t>20. Adoption Roadmap</w:t>
      </w:r>
    </w:p>
    <w:p>
      <w:pPr>
        <w:pStyle w:val="ListNumber"/>
        <w:spacing w:before="0" w:after="80" w:line="269" w:lineRule="auto"/>
      </w:pPr>
      <w:r>
        <w:rPr>
          <w:rFonts w:ascii="Calibri" w:hAnsi="Calibri"/>
          <w:b w:val="0"/>
          <w:i w:val="0"/>
          <w:color w:val="111827"/>
          <w:sz w:val="22"/>
        </w:rPr>
        <w:t>Publish Version 0.1 as a draft standard with schema references, package structure, and complete examples.</w:t>
      </w:r>
    </w:p>
    <w:p>
      <w:pPr>
        <w:pStyle w:val="ListNumber"/>
        <w:spacing w:before="0" w:after="80" w:line="269" w:lineRule="auto"/>
      </w:pPr>
      <w:r>
        <w:rPr>
          <w:rFonts w:ascii="Calibri" w:hAnsi="Calibri"/>
          <w:b w:val="0"/>
          <w:i w:val="0"/>
          <w:color w:val="111827"/>
          <w:sz w:val="22"/>
        </w:rPr>
        <w:t>Release a downloadable starter kit containing schema, examples, validation rules, and authoring guidance.</w:t>
      </w:r>
    </w:p>
    <w:p>
      <w:pPr>
        <w:pStyle w:val="ListNumber"/>
        <w:spacing w:before="0" w:after="80" w:line="269" w:lineRule="auto"/>
      </w:pPr>
      <w:r>
        <w:rPr>
          <w:rFonts w:ascii="Calibri" w:hAnsi="Calibri"/>
          <w:b w:val="0"/>
          <w:i w:val="0"/>
          <w:color w:val="111827"/>
          <w:sz w:val="22"/>
        </w:rPr>
        <w:t>Invite 3-5 design partners to implement the package in at least two independent runtimes or toolchains.</w:t>
      </w:r>
    </w:p>
    <w:p>
      <w:pPr>
        <w:pStyle w:val="ListNumber"/>
        <w:spacing w:before="0" w:after="80" w:line="269" w:lineRule="auto"/>
      </w:pPr>
      <w:r>
        <w:rPr>
          <w:rFonts w:ascii="Calibri" w:hAnsi="Calibri"/>
          <w:b w:val="0"/>
          <w:i w:val="0"/>
          <w:color w:val="111827"/>
          <w:sz w:val="22"/>
        </w:rPr>
        <w:t>Stand up a public issue tracker and versioned change log.</w:t>
      </w:r>
    </w:p>
    <w:p>
      <w:pPr>
        <w:pStyle w:val="ListNumber"/>
        <w:spacing w:before="0" w:after="80" w:line="269" w:lineRule="auto"/>
      </w:pPr>
      <w:r>
        <w:rPr>
          <w:rFonts w:ascii="Calibri" w:hAnsi="Calibri"/>
          <w:b w:val="0"/>
          <w:i w:val="0"/>
          <w:color w:val="111827"/>
          <w:sz w:val="22"/>
        </w:rPr>
        <w:t>Form the first named committee and define change acceptance rules.</w:t>
      </w:r>
    </w:p>
    <w:p>
      <w:pPr>
        <w:pStyle w:val="ListNumber"/>
        <w:spacing w:before="0" w:after="80" w:line="269" w:lineRule="auto"/>
      </w:pPr>
      <w:r>
        <w:rPr>
          <w:rFonts w:ascii="Calibri" w:hAnsi="Calibri"/>
          <w:b w:val="0"/>
          <w:i w:val="0"/>
          <w:color w:val="111827"/>
          <w:sz w:val="22"/>
        </w:rPr>
        <w:t>Promote Version 1.0 only after multiple implementers can author, validate, and import packages without private guidance from Aegora.</w:t>
      </w:r>
    </w:p>
    <w:p>
      <w:pPr>
        <w:pStyle w:val="Heading1"/>
      </w:pPr>
      <w:r>
        <w:t>21. Positioning Statement</w:t>
      </w:r>
    </w:p>
    <w:p>
      <w:pPr>
        <w:spacing w:before="0" w:after="120" w:line="276" w:lineRule="auto"/>
      </w:pPr>
      <w:r>
        <w:rPr>
          <w:rFonts w:ascii="Calibri" w:hAnsi="Calibri"/>
          <w:b w:val="0"/>
          <w:i w:val="0"/>
          <w:color w:val="111827"/>
          <w:sz w:val="22"/>
        </w:rPr>
        <w:t>The clearest external message is this: the Operating Specification Standard defines the portable contract for turning recurring business and operational processes into governed agentic operating paths. Aegora Runtime is a trusted execution foundation that can run those paths with decision intelligence, governance enforcement, auditability, and evidence-backed outcomes.</w:t>
      </w:r>
    </w:p>
    <w:p>
      <w:pPr>
        <w:pStyle w:val="Heading1"/>
      </w:pPr>
      <w:r>
        <w:t>Appendix A. Minimal Portable Path Example</w:t>
      </w:r>
    </w:p>
    <w:p>
      <w:pPr>
        <w:spacing w:before="0" w:after="120" w:line="276" w:lineRule="auto"/>
      </w:pPr>
      <w:r>
        <w:rPr>
          <w:rFonts w:ascii="Calibri" w:hAnsi="Calibri"/>
          <w:b w:val="0"/>
          <w:i w:val="0"/>
          <w:color w:val="111827"/>
          <w:sz w:val="22"/>
        </w:rPr>
        <w:t>The following abbreviated example illustrates the minimum logical shape of a portable Operating Path representation. It is short enough to implement and extend.</w:t>
      </w:r>
    </w:p>
    <w:tbl>
      <w:tblPr>
        <w:tblStyle w:val="TableGrid"/>
        <w:tblW w:type="dxa" w:w="9360"/>
        <w:jc w:val="left"/>
        <w:tblLook w:firstColumn="1" w:firstRow="1" w:lastColumn="0" w:lastRow="0" w:noHBand="0" w:noVBand="1" w:val="04A0"/>
        <w:tblInd w:type="dxa" w:w="120"/>
      </w:tblPr>
      <w:tblGrid>
        <w:gridCol w:w="9360"/>
      </w:tblGrid>
      <w:tr>
        <w:tc>
          <w:tcPr>
            <w:tcW w:type="dxa" w:w="9360"/>
            <w:shd w:fill="F3F4F6"/>
            <w:tcMar>
              <w:top w:w="100" w:type="dxa"/>
              <w:bottom w:w="100" w:type="dxa"/>
              <w:start w:w="140" w:type="dxa"/>
              <w:end w:w="140" w:type="dxa"/>
            </w:tcMar>
          </w:tcPr>
          <w:p>
            <w:pPr>
              <w:spacing w:before="0" w:after="0" w:line="252" w:lineRule="auto"/>
            </w:pPr>
            <w:r/>
            <w:r>
              <w:rPr>
                <w:rFonts w:ascii="Courier New" w:hAnsi="Courier New"/>
                <w:b w:val="0"/>
                <w:i w:val="0"/>
                <w:color w:val="111827"/>
                <w:sz w:val="19"/>
              </w:rPr>
              <w:t>apiVersion: operatingpath.aegora.dev/v1alpha1</w:t>
              <w:br/>
            </w:r>
            <w:r>
              <w:rPr>
                <w:rFonts w:ascii="Courier New" w:hAnsi="Courier New"/>
                <w:b w:val="0"/>
                <w:i w:val="0"/>
                <w:color w:val="111827"/>
                <w:sz w:val="19"/>
              </w:rPr>
              <w:t>kind: OperatingPath</w:t>
              <w:br/>
            </w:r>
            <w:r>
              <w:rPr>
                <w:rFonts w:ascii="Courier New" w:hAnsi="Courier New"/>
                <w:b w:val="0"/>
                <w:i w:val="0"/>
                <w:color w:val="111827"/>
                <w:sz w:val="19"/>
              </w:rPr>
              <w:t>metadata:</w:t>
              <w:br/>
            </w:r>
            <w:r>
              <w:rPr>
                <w:rFonts w:ascii="Courier New" w:hAnsi="Courier New"/>
                <w:b w:val="0"/>
                <w:i w:val="0"/>
                <w:color w:val="111827"/>
                <w:sz w:val="19"/>
              </w:rPr>
              <w:t xml:space="preserve">  name: critical-vulnerability-governance</w:t>
              <w:br/>
            </w:r>
            <w:r>
              <w:rPr>
                <w:rFonts w:ascii="Courier New" w:hAnsi="Courier New"/>
                <w:b w:val="0"/>
                <w:i w:val="0"/>
                <w:color w:val="111827"/>
                <w:sz w:val="19"/>
              </w:rPr>
              <w:t xml:space="preserve">  displayName: Critical Vulnerability Governance</w:t>
              <w:br/>
            </w:r>
            <w:r>
              <w:rPr>
                <w:rFonts w:ascii="Courier New" w:hAnsi="Courier New"/>
                <w:b w:val="0"/>
                <w:i w:val="0"/>
                <w:color w:val="111827"/>
                <w:sz w:val="19"/>
              </w:rPr>
              <w:t xml:space="preserve">  version: 0.1.0</w:t>
              <w:br/>
            </w:r>
            <w:r>
              <w:rPr>
                <w:rFonts w:ascii="Courier New" w:hAnsi="Courier New"/>
                <w:b w:val="0"/>
                <w:i w:val="0"/>
                <w:color w:val="111827"/>
                <w:sz w:val="19"/>
              </w:rPr>
              <w:t xml:space="preserve">  status: draft</w:t>
              <w:br/>
            </w:r>
            <w:r>
              <w:rPr>
                <w:rFonts w:ascii="Courier New" w:hAnsi="Courier New"/>
                <w:b w:val="0"/>
                <w:i w:val="0"/>
                <w:color w:val="111827"/>
                <w:sz w:val="19"/>
              </w:rPr>
              <w:t>spec:</w:t>
              <w:br/>
            </w:r>
            <w:r>
              <w:rPr>
                <w:rFonts w:ascii="Courier New" w:hAnsi="Courier New"/>
                <w:b w:val="0"/>
                <w:i w:val="0"/>
                <w:color w:val="111827"/>
                <w:sz w:val="19"/>
              </w:rPr>
              <w:t xml:space="preserve">  objective: reduce exposure from a critical vulnerability on a privileged device</w:t>
              <w:br/>
            </w:r>
            <w:r>
              <w:rPr>
                <w:rFonts w:ascii="Courier New" w:hAnsi="Courier New"/>
                <w:b w:val="0"/>
                <w:i w:val="0"/>
                <w:color w:val="111827"/>
                <w:sz w:val="19"/>
              </w:rPr>
              <w:t xml:space="preserve">  triggerSignals:</w:t>
              <w:br/>
            </w:r>
            <w:r>
              <w:rPr>
                <w:rFonts w:ascii="Courier New" w:hAnsi="Courier New"/>
                <w:b w:val="0"/>
                <w:i w:val="0"/>
                <w:color w:val="111827"/>
                <w:sz w:val="19"/>
              </w:rPr>
              <w:t xml:space="preserve">    - endpoint_vulnerability_detected</w:t>
              <w:br/>
            </w:r>
            <w:r>
              <w:rPr>
                <w:rFonts w:ascii="Courier New" w:hAnsi="Courier New"/>
                <w:b w:val="0"/>
                <w:i w:val="0"/>
                <w:color w:val="111827"/>
                <w:sz w:val="19"/>
              </w:rPr>
              <w:t xml:space="preserve">  requiredContext:</w:t>
              <w:br/>
            </w:r>
            <w:r>
              <w:rPr>
                <w:rFonts w:ascii="Courier New" w:hAnsi="Courier New"/>
                <w:b w:val="0"/>
                <w:i w:val="0"/>
                <w:color w:val="111827"/>
                <w:sz w:val="19"/>
              </w:rPr>
              <w:t xml:space="preserve">    - tenant_id</w:t>
              <w:br/>
            </w:r>
            <w:r>
              <w:rPr>
                <w:rFonts w:ascii="Courier New" w:hAnsi="Courier New"/>
                <w:b w:val="0"/>
                <w:i w:val="0"/>
                <w:color w:val="111827"/>
                <w:sz w:val="19"/>
              </w:rPr>
              <w:t xml:space="preserve">    - asset_id</w:t>
              <w:br/>
            </w:r>
            <w:r>
              <w:rPr>
                <w:rFonts w:ascii="Courier New" w:hAnsi="Courier New"/>
                <w:b w:val="0"/>
                <w:i w:val="0"/>
                <w:color w:val="111827"/>
                <w:sz w:val="19"/>
              </w:rPr>
              <w:t xml:space="preserve">    - identity_ref</w:t>
              <w:br/>
            </w:r>
            <w:r>
              <w:rPr>
                <w:rFonts w:ascii="Courier New" w:hAnsi="Courier New"/>
                <w:b w:val="0"/>
                <w:i w:val="0"/>
                <w:color w:val="111827"/>
                <w:sz w:val="19"/>
              </w:rPr>
              <w:t xml:space="preserve">    - vulnerability_id</w:t>
              <w:br/>
            </w:r>
            <w:r>
              <w:rPr>
                <w:rFonts w:ascii="Courier New" w:hAnsi="Courier New"/>
                <w:b w:val="0"/>
                <w:i w:val="0"/>
                <w:color w:val="111827"/>
                <w:sz w:val="19"/>
              </w:rPr>
              <w:t xml:space="preserve">  decisions:</w:t>
              <w:br/>
            </w:r>
            <w:r>
              <w:rPr>
                <w:rFonts w:ascii="Courier New" w:hAnsi="Courier New"/>
                <w:b w:val="0"/>
                <w:i w:val="0"/>
                <w:color w:val="111827"/>
                <w:sz w:val="19"/>
              </w:rPr>
              <w:t xml:space="preserve">    - remediation_urgency</w:t>
              <w:br/>
            </w:r>
            <w:r>
              <w:rPr>
                <w:rFonts w:ascii="Courier New" w:hAnsi="Courier New"/>
                <w:b w:val="0"/>
                <w:i w:val="0"/>
                <w:color w:val="111827"/>
                <w:sz w:val="19"/>
              </w:rPr>
              <w:t xml:space="preserve">    - execution_posture</w:t>
              <w:br/>
            </w:r>
            <w:r>
              <w:rPr>
                <w:rFonts w:ascii="Courier New" w:hAnsi="Courier New"/>
                <w:b w:val="0"/>
                <w:i w:val="0"/>
                <w:color w:val="111827"/>
                <w:sz w:val="19"/>
              </w:rPr>
              <w:t xml:space="preserve">  governance:</w:t>
              <w:br/>
            </w:r>
            <w:r>
              <w:rPr>
                <w:rFonts w:ascii="Courier New" w:hAnsi="Courier New"/>
                <w:b w:val="0"/>
                <w:i w:val="0"/>
                <w:color w:val="111827"/>
                <w:sz w:val="19"/>
              </w:rPr>
              <w:t xml:space="preserve">    approvals:</w:t>
              <w:br/>
            </w:r>
            <w:r>
              <w:rPr>
                <w:rFonts w:ascii="Courier New" w:hAnsi="Courier New"/>
                <w:b w:val="0"/>
                <w:i w:val="0"/>
                <w:color w:val="111827"/>
                <w:sz w:val="19"/>
              </w:rPr>
              <w:t xml:space="preserve">      - when: production_or_high_blast_radius</w:t>
              <w:br/>
            </w:r>
            <w:r>
              <w:rPr>
                <w:rFonts w:ascii="Courier New" w:hAnsi="Courier New"/>
                <w:b w:val="0"/>
                <w:i w:val="0"/>
                <w:color w:val="111827"/>
                <w:sz w:val="19"/>
              </w:rPr>
              <w:t xml:space="preserve">    denyConditions:</w:t>
              <w:br/>
            </w:r>
            <w:r>
              <w:rPr>
                <w:rFonts w:ascii="Courier New" w:hAnsi="Courier New"/>
                <w:b w:val="0"/>
                <w:i w:val="0"/>
                <w:color w:val="111827"/>
                <w:sz w:val="19"/>
              </w:rPr>
              <w:t xml:space="preserve">      - action_not_allowlisted</w:t>
              <w:br/>
            </w:r>
            <w:r>
              <w:rPr>
                <w:rFonts w:ascii="Courier New" w:hAnsi="Courier New"/>
                <w:b w:val="0"/>
                <w:i w:val="0"/>
                <w:color w:val="111827"/>
                <w:sz w:val="19"/>
              </w:rPr>
              <w:t xml:space="preserve">  allowedActions:</w:t>
              <w:br/>
            </w:r>
            <w:r>
              <w:rPr>
                <w:rFonts w:ascii="Courier New" w:hAnsi="Courier New"/>
                <w:b w:val="0"/>
                <w:i w:val="0"/>
                <w:color w:val="111827"/>
                <w:sz w:val="19"/>
              </w:rPr>
              <w:t xml:space="preserve">    - isolate_device</w:t>
              <w:br/>
            </w:r>
            <w:r>
              <w:rPr>
                <w:rFonts w:ascii="Courier New" w:hAnsi="Courier New"/>
                <w:b w:val="0"/>
                <w:i w:val="0"/>
                <w:color w:val="111827"/>
                <w:sz w:val="19"/>
              </w:rPr>
              <w:t xml:space="preserve">    - open_ticket</w:t>
              <w:br/>
            </w:r>
            <w:r>
              <w:rPr>
                <w:rFonts w:ascii="Courier New" w:hAnsi="Courier New"/>
                <w:b w:val="0"/>
                <w:i w:val="0"/>
                <w:color w:val="111827"/>
                <w:sz w:val="19"/>
              </w:rPr>
              <w:t xml:space="preserve">    - request_patch_window</w:t>
              <w:br/>
            </w:r>
            <w:r>
              <w:rPr>
                <w:rFonts w:ascii="Courier New" w:hAnsi="Courier New"/>
                <w:b w:val="0"/>
                <w:i w:val="0"/>
                <w:color w:val="111827"/>
                <w:sz w:val="19"/>
              </w:rPr>
              <w:t xml:space="preserve">  evidence:</w:t>
              <w:br/>
            </w:r>
            <w:r>
              <w:rPr>
                <w:rFonts w:ascii="Courier New" w:hAnsi="Courier New"/>
                <w:b w:val="0"/>
                <w:i w:val="0"/>
                <w:color w:val="111827"/>
                <w:sz w:val="19"/>
              </w:rPr>
              <w:t xml:space="preserve">    required:</w:t>
              <w:br/>
            </w:r>
            <w:r>
              <w:rPr>
                <w:rFonts w:ascii="Courier New" w:hAnsi="Courier New"/>
                <w:b w:val="0"/>
                <w:i w:val="0"/>
                <w:color w:val="111827"/>
                <w:sz w:val="19"/>
              </w:rPr>
              <w:t xml:space="preserve">      - decision_trace</w:t>
              <w:br/>
            </w:r>
            <w:r>
              <w:rPr>
                <w:rFonts w:ascii="Courier New" w:hAnsi="Courier New"/>
                <w:b w:val="0"/>
                <w:i w:val="0"/>
                <w:color w:val="111827"/>
                <w:sz w:val="19"/>
              </w:rPr>
              <w:t xml:space="preserve">      - execution_result</w:t>
              <w:br/>
            </w:r>
            <w:r>
              <w:rPr>
                <w:rFonts w:ascii="Courier New" w:hAnsi="Courier New"/>
                <w:b w:val="0"/>
                <w:i w:val="0"/>
                <w:color w:val="111827"/>
                <w:sz w:val="19"/>
              </w:rPr>
              <w:t xml:space="preserve">      - validation_signal</w:t>
              <w:br/>
            </w:r>
            <w:r>
              <w:rPr>
                <w:rFonts w:ascii="Courier New" w:hAnsi="Courier New"/>
                <w:b w:val="0"/>
                <w:i w:val="0"/>
                <w:color w:val="111827"/>
                <w:sz w:val="19"/>
              </w:rPr>
              <w:t xml:space="preserve">  outcome:</w:t>
              <w:br/>
            </w:r>
            <w:r>
              <w:rPr>
                <w:rFonts w:ascii="Courier New" w:hAnsi="Courier New"/>
                <w:b w:val="0"/>
                <w:i w:val="0"/>
                <w:color w:val="111827"/>
                <w:sz w:val="19"/>
              </w:rPr>
              <w:t xml:space="preserve">    successConditions:</w:t>
              <w:br/>
            </w:r>
            <w:r>
              <w:rPr>
                <w:rFonts w:ascii="Courier New" w:hAnsi="Courier New"/>
                <w:b w:val="0"/>
                <w:i w:val="0"/>
                <w:color w:val="111827"/>
                <w:sz w:val="19"/>
              </w:rPr>
              <w:t xml:space="preserve">      - vulnerability_resolved_or_risk_accepted</w:t>
              <w:br/>
            </w:r>
          </w:p>
        </w:tc>
      </w:tr>
    </w:tbl>
    <w:p>
      <w:pPr>
        <w:pStyle w:val="Heading1"/>
      </w:pPr>
      <w:r>
        <w:t>Appendix B. External Build Checklist</w:t>
      </w:r>
    </w:p>
    <w:p>
      <w:pPr>
        <w:pStyle w:val="ListBullet"/>
        <w:spacing w:before="0" w:after="80" w:line="269" w:lineRule="auto"/>
      </w:pPr>
      <w:r>
        <w:rPr>
          <w:rFonts w:ascii="Calibri" w:hAnsi="Calibri"/>
          <w:b w:val="0"/>
          <w:i w:val="0"/>
          <w:color w:val="111827"/>
          <w:sz w:val="22"/>
        </w:rPr>
        <w:t>Can I identify the required artifacts in the package?</w:t>
      </w:r>
    </w:p>
    <w:p>
      <w:pPr>
        <w:pStyle w:val="ListBullet"/>
        <w:spacing w:before="0" w:after="80" w:line="269" w:lineRule="auto"/>
      </w:pPr>
      <w:r>
        <w:rPr>
          <w:rFonts w:ascii="Calibri" w:hAnsi="Calibri"/>
          <w:b w:val="0"/>
          <w:i w:val="0"/>
          <w:color w:val="111827"/>
          <w:sz w:val="22"/>
        </w:rPr>
        <w:t>Can I validate the primary path document without vendor-private logic?</w:t>
      </w:r>
    </w:p>
    <w:p>
      <w:pPr>
        <w:pStyle w:val="ListBullet"/>
        <w:spacing w:before="0" w:after="80" w:line="269" w:lineRule="auto"/>
      </w:pPr>
      <w:r>
        <w:rPr>
          <w:rFonts w:ascii="Calibri" w:hAnsi="Calibri"/>
          <w:b w:val="0"/>
          <w:i w:val="0"/>
          <w:color w:val="111827"/>
          <w:sz w:val="22"/>
        </w:rPr>
        <w:t>Can I understand how governance and approvals are modeled?</w:t>
      </w:r>
    </w:p>
    <w:p>
      <w:pPr>
        <w:pStyle w:val="ListBullet"/>
        <w:spacing w:before="0" w:after="80" w:line="269" w:lineRule="auto"/>
      </w:pPr>
      <w:r>
        <w:rPr>
          <w:rFonts w:ascii="Calibri" w:hAnsi="Calibri"/>
          <w:b w:val="0"/>
          <w:i w:val="0"/>
          <w:color w:val="111827"/>
          <w:sz w:val="22"/>
        </w:rPr>
        <w:t>Can I see how evidence and outcome closure are represented?</w:t>
      </w:r>
    </w:p>
    <w:p>
      <w:pPr>
        <w:pStyle w:val="ListBullet"/>
        <w:spacing w:before="0" w:after="80" w:line="269" w:lineRule="auto"/>
      </w:pPr>
      <w:r>
        <w:rPr>
          <w:rFonts w:ascii="Calibri" w:hAnsi="Calibri"/>
          <w:b w:val="0"/>
          <w:i w:val="0"/>
          <w:color w:val="111827"/>
          <w:sz w:val="22"/>
        </w:rPr>
        <w:t>Can I import or map this package into a runtime or registry?</w:t>
      </w:r>
    </w:p>
    <w:p>
      <w:pPr>
        <w:pStyle w:val="ListBullet"/>
        <w:spacing w:before="0" w:after="80" w:line="269" w:lineRule="auto"/>
      </w:pPr>
      <w:r>
        <w:rPr>
          <w:rFonts w:ascii="Calibri" w:hAnsi="Calibri"/>
          <w:b w:val="0"/>
          <w:i w:val="0"/>
          <w:color w:val="111827"/>
          <w:sz w:val="22"/>
        </w:rPr>
        <w:t>Can I author a second package by following the same rules?</w:t>
      </w:r>
    </w:p>
    <w:sectPr w:rsidR="00FC693F" w:rsidRPr="0006063C" w:rsidSect="00034616">
      <w:headerReference w:type="default" r:id="rId9"/>
      <w:footerReference w:type="default" r:id="rId10"/>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line="240" w:lineRule="auto"/>
      <w:jc w:val="right"/>
    </w:pPr>
    <w:r>
      <w:rPr>
        <w:rFonts w:ascii="Calibri" w:hAnsi="Calibri"/>
        <w:b w:val="0"/>
        <w:i w:val="0"/>
        <w:color w:val="4B5563"/>
        <w:sz w:val="18"/>
      </w:rPr>
      <w:t xml:space="preserve">Page </w:t>
    </w:r>
    <w:r>
      <w:fldChar w:fldCharType="begin"/>
      <w:instrText xml:space="preserve">PAGE</w:instrText>
      <w:fldChar w:fldCharType="separate"/>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before="0" w:after="0" w:line="240" w:lineRule="auto"/>
      <w:jc w:val="left"/>
    </w:pPr>
    <w:r>
      <w:rPr>
        <w:rFonts w:ascii="Calibri" w:hAnsi="Calibri"/>
        <w:b/>
        <w:i w:val="0"/>
        <w:color w:val="4B5563"/>
        <w:sz w:val="18"/>
      </w:rPr>
      <w:t>Operating Specification Standard | Builder Draft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20" w:line="276"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60" w:line="269" w:lineRule="auto"/>
      <w:outlineLvl w:val="0"/>
    </w:pPr>
    <w:rPr>
      <w:rFonts w:asciiTheme="majorHAnsi" w:eastAsiaTheme="majorEastAsia" w:hAnsiTheme="majorHAnsi" w:cstheme="majorBidi" w:ascii="Calibri" w:hAnsi="Calibri"/>
      <w:b/>
      <w:bCs/>
      <w:color w:val="1F4D78"/>
      <w:sz w:val="32"/>
      <w:szCs w:val="28"/>
    </w:rPr>
  </w:style>
  <w:style w:type="paragraph" w:styleId="Heading2">
    <w:name w:val="heading 2"/>
    <w:basedOn w:val="Normal"/>
    <w:next w:val="Normal"/>
    <w:link w:val="Heading2Char"/>
    <w:uiPriority w:val="9"/>
    <w:unhideWhenUsed/>
    <w:qFormat/>
    <w:rsid w:val="00FC693F"/>
    <w:pPr>
      <w:keepNext/>
      <w:keepLines/>
      <w:spacing w:before="280" w:after="120" w:line="269" w:lineRule="auto"/>
      <w:outlineLvl w:val="1"/>
    </w:pPr>
    <w:rPr>
      <w:rFonts w:asciiTheme="majorHAnsi" w:eastAsiaTheme="majorEastAsia" w:hAnsiTheme="majorHAnsi" w:cstheme="majorBidi" w:ascii="Calibri" w:hAnsi="Calibri"/>
      <w:b/>
      <w:bCs/>
      <w:color w:val="1F4D78"/>
      <w:sz w:val="26"/>
      <w:szCs w:val="26"/>
    </w:rPr>
  </w:style>
  <w:style w:type="paragraph" w:styleId="Heading3">
    <w:name w:val="heading 3"/>
    <w:basedOn w:val="Normal"/>
    <w:next w:val="Normal"/>
    <w:link w:val="Heading3Char"/>
    <w:uiPriority w:val="9"/>
    <w:unhideWhenUsed/>
    <w:qFormat/>
    <w:rsid w:val="00FC693F"/>
    <w:pPr>
      <w:keepNext/>
      <w:keepLines/>
      <w:spacing w:before="200" w:after="80" w:line="269" w:lineRule="auto"/>
      <w:outlineLvl w:val="2"/>
    </w:pPr>
    <w:rPr>
      <w:rFonts w:asciiTheme="majorHAnsi" w:eastAsiaTheme="majorEastAsia" w:hAnsiTheme="majorHAnsi" w:cstheme="majorBidi" w:ascii="Calibri" w:hAnsi="Calibri"/>
      <w:b/>
      <w:bCs/>
      <w:color w:val="111827"/>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69" w:lineRule="auto" w:before="0"/>
      <w:contextualSpacing/>
    </w:pPr>
    <w:rPr>
      <w:rFonts w:asciiTheme="majorHAnsi" w:eastAsiaTheme="majorEastAsia" w:hAnsiTheme="majorHAnsi" w:cstheme="majorBidi" w:ascii="Calibri" w:hAnsi="Calibri"/>
      <w:b w:val="0"/>
      <w:color w:val="111827"/>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00" w:line="269" w:lineRule="auto"/>
    </w:pPr>
    <w:rPr>
      <w:rFonts w:asciiTheme="majorHAnsi" w:eastAsiaTheme="majorEastAsia" w:hAnsiTheme="majorHAnsi" w:cstheme="majorBidi" w:ascii="Calibri" w:hAnsi="Calibri"/>
      <w:b w:val="0"/>
      <w:i/>
      <w:iCs/>
      <w:color w:val="4B5563"/>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80" w:line="269" w:lineRule="auto"/>
      <w:contextualSpacing/>
    </w:pPr>
    <w:rPr>
      <w:rFonts w:ascii="Calibri" w:hAnsi="Calibri"/>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80" w:line="269" w:lineRule="auto"/>
      <w:contextualSpacing/>
    </w:pPr>
    <w:rPr>
      <w:rFonts w:ascii="Calibri" w:hAnsi="Calibri"/>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